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00CC6" w14:textId="1AD49264" w:rsidR="00A32A07" w:rsidRPr="007915AB" w:rsidRDefault="00A32A07" w:rsidP="00A32A07">
      <w:pPr>
        <w:pStyle w:val="Sinespaciado"/>
        <w:jc w:val="center"/>
        <w:rPr>
          <w:rFonts w:ascii="Work Sans" w:hAnsi="Work Sans"/>
          <w:b/>
          <w:bCs/>
          <w:sz w:val="24"/>
          <w:szCs w:val="24"/>
        </w:rPr>
      </w:pPr>
      <w:bookmarkStart w:id="0" w:name="14"/>
      <w:r w:rsidRPr="007915AB">
        <w:rPr>
          <w:rFonts w:ascii="Work Sans" w:hAnsi="Work Sans"/>
          <w:b/>
          <w:bCs/>
          <w:sz w:val="24"/>
          <w:szCs w:val="24"/>
        </w:rPr>
        <w:t>COMITÉ ADMINISTRADOR PARA COMUNIDADES ENERGÉTICAS</w:t>
      </w:r>
      <w:bookmarkEnd w:id="0"/>
      <w:r w:rsidRPr="007915AB">
        <w:rPr>
          <w:rFonts w:ascii="Work Sans" w:hAnsi="Work Sans"/>
          <w:b/>
          <w:bCs/>
          <w:sz w:val="24"/>
          <w:szCs w:val="24"/>
        </w:rPr>
        <w:t xml:space="preserve"> -CAPCE</w:t>
      </w:r>
    </w:p>
    <w:p w14:paraId="626D3C5E" w14:textId="0123CBA6" w:rsidR="00A32A07" w:rsidRPr="007915AB" w:rsidRDefault="00A32A07" w:rsidP="00A32A07">
      <w:pPr>
        <w:pStyle w:val="Sinespaciado"/>
        <w:jc w:val="center"/>
        <w:rPr>
          <w:rFonts w:ascii="Work Sans" w:hAnsi="Work Sans"/>
          <w:b/>
          <w:bCs/>
          <w:i/>
          <w:iCs/>
          <w:sz w:val="24"/>
          <w:szCs w:val="24"/>
        </w:rPr>
      </w:pPr>
      <w:r w:rsidRPr="007915AB">
        <w:rPr>
          <w:rFonts w:ascii="Work Sans" w:hAnsi="Work Sans"/>
          <w:b/>
          <w:bCs/>
          <w:i/>
          <w:iCs/>
          <w:sz w:val="24"/>
          <w:szCs w:val="24"/>
        </w:rPr>
        <w:t>FUNDAMENTACIÓN DE LOS CRITERIOS DE SELECCIÓN DE USUARIOS BENEFICIARIOS DE LAS COMUNIDADES ENERGÉTICAS</w:t>
      </w:r>
    </w:p>
    <w:p w14:paraId="63A1C570" w14:textId="581B5237" w:rsidR="00A32A07" w:rsidRPr="007915AB" w:rsidRDefault="00A32A07" w:rsidP="00A32A07">
      <w:pPr>
        <w:pStyle w:val="Sinespaciado"/>
        <w:jc w:val="center"/>
        <w:rPr>
          <w:rFonts w:ascii="Work Sans" w:hAnsi="Work Sans"/>
          <w:b/>
          <w:bCs/>
          <w:sz w:val="24"/>
          <w:szCs w:val="24"/>
        </w:rPr>
      </w:pPr>
      <w:r w:rsidRPr="007915AB">
        <w:rPr>
          <w:rFonts w:ascii="Work Sans" w:hAnsi="Work Sans"/>
          <w:b/>
          <w:bCs/>
          <w:sz w:val="24"/>
          <w:szCs w:val="24"/>
        </w:rPr>
        <w:t>15 DE MAYO DE 2026</w:t>
      </w:r>
    </w:p>
    <w:p w14:paraId="44236C58" w14:textId="77777777" w:rsidR="007915AB" w:rsidRPr="007915AB" w:rsidRDefault="007915AB" w:rsidP="007915AB">
      <w:pPr>
        <w:jc w:val="both"/>
        <w:rPr>
          <w:rFonts w:ascii="Work Sans" w:hAnsi="Work Sans"/>
          <w:sz w:val="24"/>
          <w:szCs w:val="24"/>
        </w:rPr>
      </w:pPr>
    </w:p>
    <w:p w14:paraId="268787FA" w14:textId="7D94D683" w:rsidR="007915AB" w:rsidRPr="007915AB" w:rsidRDefault="007915AB" w:rsidP="007915AB">
      <w:pPr>
        <w:jc w:val="both"/>
        <w:rPr>
          <w:rFonts w:ascii="Work Sans" w:hAnsi="Work Sans"/>
          <w:sz w:val="24"/>
          <w:szCs w:val="24"/>
        </w:rPr>
      </w:pPr>
      <w:r w:rsidRPr="007915AB">
        <w:rPr>
          <w:rFonts w:ascii="Work Sans" w:hAnsi="Work Sans"/>
          <w:sz w:val="24"/>
          <w:szCs w:val="24"/>
        </w:rPr>
        <w:t xml:space="preserve">En cumplimiento de lo dispuesto en el artículo 15 de la Resolución MME No. 40509 de 2024, </w:t>
      </w:r>
      <w:r w:rsidRPr="007915AB">
        <w:rPr>
          <w:rFonts w:ascii="Work Sans" w:hAnsi="Work Sans"/>
          <w:i/>
          <w:iCs/>
          <w:sz w:val="24"/>
          <w:szCs w:val="24"/>
        </w:rPr>
        <w:t xml:space="preserve">“Por la cual se reglamenta el Registro de Comunidades Energéticas (RCE), se definen los criterios de focalización y priorización para la orientación de recursos públicos con destino a Comunidades Energéticas y se dictan otras disposiciones”, </w:t>
      </w:r>
      <w:r>
        <w:rPr>
          <w:rFonts w:ascii="Work Sans" w:hAnsi="Work Sans"/>
          <w:sz w:val="24"/>
          <w:szCs w:val="24"/>
        </w:rPr>
        <w:t xml:space="preserve">se </w:t>
      </w:r>
      <w:r w:rsidRPr="007915AB">
        <w:rPr>
          <w:rFonts w:ascii="Work Sans" w:hAnsi="Work Sans"/>
          <w:sz w:val="24"/>
          <w:szCs w:val="24"/>
        </w:rPr>
        <w:t>procede a sustentar técnica, jurídica y socialmente los criterios empleados para la priorización y selección de usuarios beneficiarios de los proyectos de Comunidades Energéticas</w:t>
      </w:r>
      <w:r>
        <w:rPr>
          <w:rFonts w:ascii="Work Sans" w:hAnsi="Work Sans"/>
          <w:sz w:val="24"/>
          <w:szCs w:val="24"/>
        </w:rPr>
        <w:t xml:space="preserve"> en el marco del </w:t>
      </w:r>
      <w:r w:rsidRPr="007915AB">
        <w:rPr>
          <w:rFonts w:ascii="Work Sans" w:hAnsi="Work Sans"/>
          <w:sz w:val="24"/>
          <w:szCs w:val="24"/>
        </w:rPr>
        <w:t>Comité Administrador para Comunidades Energéticas – CAPCE</w:t>
      </w:r>
      <w:r>
        <w:rPr>
          <w:rFonts w:ascii="Work Sans" w:hAnsi="Work Sans"/>
          <w:sz w:val="24"/>
          <w:szCs w:val="24"/>
        </w:rPr>
        <w:t>.</w:t>
      </w:r>
    </w:p>
    <w:p w14:paraId="38784628" w14:textId="77777777" w:rsidR="007915AB" w:rsidRPr="007915AB" w:rsidRDefault="007915AB" w:rsidP="007915AB">
      <w:pPr>
        <w:jc w:val="both"/>
        <w:rPr>
          <w:rFonts w:ascii="Work Sans" w:hAnsi="Work Sans"/>
          <w:sz w:val="24"/>
          <w:szCs w:val="24"/>
        </w:rPr>
      </w:pPr>
      <w:r w:rsidRPr="007915AB">
        <w:rPr>
          <w:rFonts w:ascii="Work Sans" w:hAnsi="Work Sans"/>
          <w:sz w:val="24"/>
          <w:szCs w:val="24"/>
        </w:rPr>
        <w:t>La presente fundamentación tiene por objeto garantizar que la orientación de recursos públicos responda a principios de transparencia, eficiencia, equidad territorial, democratización energética, sostenibilidad comunitaria y transición energética justa, conforme a los lineamientos establecidos por el Ministerio de Minas y Energía y las decisiones previamente adoptadas por el CAPCE.</w:t>
      </w:r>
    </w:p>
    <w:p w14:paraId="01D4DD4E" w14:textId="77777777" w:rsidR="007915AB" w:rsidRPr="007915AB" w:rsidRDefault="007915AB" w:rsidP="007915AB">
      <w:pPr>
        <w:jc w:val="both"/>
        <w:rPr>
          <w:rFonts w:ascii="Work Sans" w:hAnsi="Work Sans"/>
          <w:sz w:val="24"/>
          <w:szCs w:val="24"/>
        </w:rPr>
      </w:pPr>
      <w:r w:rsidRPr="007915AB">
        <w:rPr>
          <w:rFonts w:ascii="Work Sans" w:hAnsi="Work Sans"/>
          <w:sz w:val="24"/>
          <w:szCs w:val="24"/>
        </w:rPr>
        <w:t>El artículo 15 de la Resolución MME No. 40509 de 2024 establece que, en el marco de las reuniones del CAPCE, se analizarán las comunidades focalizadas presentadas por la Secretaría Técnica, con el propósito de recomendar aquellas susceptibles de ser priorizadas para ejecución con recursos públicos, atendiendo las siguientes variables:</w:t>
      </w:r>
    </w:p>
    <w:p w14:paraId="5E3A9F06" w14:textId="77777777" w:rsidR="007915AB" w:rsidRPr="007915AB" w:rsidRDefault="007915AB" w:rsidP="007915AB">
      <w:pPr>
        <w:pStyle w:val="Sinespaciado"/>
        <w:numPr>
          <w:ilvl w:val="0"/>
          <w:numId w:val="6"/>
        </w:numPr>
        <w:rPr>
          <w:rFonts w:ascii="Work Sans" w:hAnsi="Work Sans"/>
          <w:i/>
          <w:iCs/>
          <w:sz w:val="24"/>
          <w:szCs w:val="24"/>
        </w:rPr>
      </w:pPr>
      <w:r w:rsidRPr="007915AB">
        <w:rPr>
          <w:rFonts w:ascii="Work Sans" w:hAnsi="Work Sans"/>
          <w:i/>
          <w:iCs/>
          <w:sz w:val="24"/>
          <w:szCs w:val="24"/>
        </w:rPr>
        <w:t xml:space="preserve">Nivel de sostenibilidad organizacional de la comunidad. </w:t>
      </w:r>
    </w:p>
    <w:p w14:paraId="09F39109" w14:textId="77777777" w:rsidR="007915AB" w:rsidRPr="007915AB" w:rsidRDefault="007915AB" w:rsidP="007915AB">
      <w:pPr>
        <w:pStyle w:val="Sinespaciado"/>
        <w:numPr>
          <w:ilvl w:val="0"/>
          <w:numId w:val="6"/>
        </w:numPr>
        <w:rPr>
          <w:rFonts w:ascii="Work Sans" w:hAnsi="Work Sans"/>
          <w:i/>
          <w:iCs/>
          <w:sz w:val="24"/>
          <w:szCs w:val="24"/>
        </w:rPr>
      </w:pPr>
      <w:r w:rsidRPr="007915AB">
        <w:rPr>
          <w:rFonts w:ascii="Work Sans" w:hAnsi="Work Sans"/>
          <w:i/>
          <w:iCs/>
          <w:sz w:val="24"/>
          <w:szCs w:val="24"/>
        </w:rPr>
        <w:t xml:space="preserve">Nivel de desarrollo y viabilidad de la solución energética. </w:t>
      </w:r>
    </w:p>
    <w:p w14:paraId="600FC74E" w14:textId="77777777" w:rsidR="007915AB" w:rsidRPr="007915AB" w:rsidRDefault="007915AB" w:rsidP="007915AB">
      <w:pPr>
        <w:pStyle w:val="Sinespaciado"/>
        <w:numPr>
          <w:ilvl w:val="0"/>
          <w:numId w:val="6"/>
        </w:numPr>
        <w:rPr>
          <w:rFonts w:ascii="Work Sans" w:hAnsi="Work Sans"/>
          <w:i/>
          <w:iCs/>
          <w:sz w:val="24"/>
          <w:szCs w:val="24"/>
        </w:rPr>
      </w:pPr>
      <w:r w:rsidRPr="007915AB">
        <w:rPr>
          <w:rFonts w:ascii="Work Sans" w:hAnsi="Work Sans"/>
          <w:i/>
          <w:iCs/>
          <w:sz w:val="24"/>
          <w:szCs w:val="24"/>
        </w:rPr>
        <w:t xml:space="preserve">Nivel de desarrollo y viabilidad de la solución productiva. </w:t>
      </w:r>
    </w:p>
    <w:p w14:paraId="505C6371" w14:textId="77777777" w:rsidR="007915AB" w:rsidRPr="007915AB" w:rsidRDefault="007915AB" w:rsidP="007915AB">
      <w:pPr>
        <w:pStyle w:val="Sinespaciado"/>
        <w:numPr>
          <w:ilvl w:val="0"/>
          <w:numId w:val="6"/>
        </w:numPr>
        <w:rPr>
          <w:rFonts w:ascii="Work Sans" w:hAnsi="Work Sans"/>
          <w:i/>
          <w:iCs/>
          <w:sz w:val="24"/>
          <w:szCs w:val="24"/>
        </w:rPr>
      </w:pPr>
      <w:r w:rsidRPr="007915AB">
        <w:rPr>
          <w:rFonts w:ascii="Work Sans" w:hAnsi="Work Sans"/>
          <w:i/>
          <w:iCs/>
          <w:sz w:val="24"/>
          <w:szCs w:val="24"/>
        </w:rPr>
        <w:t xml:space="preserve">Nivel de experiencia previa de autogestión comunitaria de la energía. </w:t>
      </w:r>
    </w:p>
    <w:p w14:paraId="0C42D4A4" w14:textId="77777777" w:rsidR="007915AB" w:rsidRDefault="007915AB" w:rsidP="007915AB">
      <w:pPr>
        <w:pStyle w:val="Sinespaciado"/>
        <w:rPr>
          <w:rFonts w:ascii="Work Sans" w:hAnsi="Work Sans"/>
          <w:sz w:val="24"/>
          <w:szCs w:val="24"/>
        </w:rPr>
      </w:pPr>
    </w:p>
    <w:p w14:paraId="214A26BF" w14:textId="5660F406" w:rsidR="007915AB" w:rsidRDefault="007915AB" w:rsidP="007915AB">
      <w:pPr>
        <w:pStyle w:val="Sinespaciado"/>
        <w:rPr>
          <w:rFonts w:ascii="Work Sans" w:hAnsi="Work Sans"/>
          <w:sz w:val="24"/>
          <w:szCs w:val="24"/>
        </w:rPr>
      </w:pPr>
      <w:r>
        <w:rPr>
          <w:rFonts w:ascii="Work Sans" w:hAnsi="Work Sans"/>
          <w:sz w:val="24"/>
          <w:szCs w:val="24"/>
        </w:rPr>
        <w:t xml:space="preserve">“(…) </w:t>
      </w:r>
    </w:p>
    <w:p w14:paraId="0495C9EC" w14:textId="77777777" w:rsidR="007915AB" w:rsidRPr="007915AB" w:rsidRDefault="007915AB" w:rsidP="007915AB">
      <w:pPr>
        <w:ind w:left="708"/>
        <w:jc w:val="both"/>
        <w:rPr>
          <w:rFonts w:ascii="Work Sans" w:hAnsi="Work Sans"/>
          <w:i/>
          <w:iCs/>
          <w:sz w:val="24"/>
          <w:szCs w:val="24"/>
        </w:rPr>
      </w:pPr>
      <w:r w:rsidRPr="007915AB">
        <w:rPr>
          <w:rFonts w:ascii="Work Sans" w:hAnsi="Work Sans"/>
          <w:b/>
          <w:bCs/>
          <w:i/>
          <w:iCs/>
          <w:sz w:val="24"/>
          <w:szCs w:val="24"/>
        </w:rPr>
        <w:t>15.1. Nivel de Sostenibilidad Organizacional de la Comunidad</w:t>
      </w:r>
      <w:r w:rsidRPr="007915AB">
        <w:rPr>
          <w:rFonts w:ascii="Work Sans" w:hAnsi="Work Sans"/>
          <w:i/>
          <w:iCs/>
          <w:sz w:val="24"/>
          <w:szCs w:val="24"/>
        </w:rPr>
        <w:t xml:space="preserve">. Variable que identifica aquellas comunidades </w:t>
      </w:r>
      <w:r w:rsidRPr="007915AB">
        <w:rPr>
          <w:rFonts w:ascii="Work Sans" w:hAnsi="Work Sans"/>
          <w:i/>
          <w:iCs/>
          <w:sz w:val="24"/>
          <w:szCs w:val="24"/>
          <w:u w:val="single"/>
        </w:rPr>
        <w:t>con niveles de gobernanza en aspectos administrativos, legales, laborales, estructura de toma de decisiones, control interno, entre otros</w:t>
      </w:r>
      <w:r w:rsidRPr="007915AB">
        <w:rPr>
          <w:rFonts w:ascii="Work Sans" w:hAnsi="Work Sans"/>
          <w:i/>
          <w:iCs/>
          <w:sz w:val="24"/>
          <w:szCs w:val="24"/>
        </w:rPr>
        <w:t xml:space="preserve">. En esta variable se considerarán, entre otros aspectos, el tiempo transcurrido desde la creación de la organización, nivel de formalidad, capacidad productiva o de sostenibilidad, pertenencia a redes de trabajo con otras organizaciones, mecanismos internos para </w:t>
      </w:r>
      <w:r w:rsidRPr="007915AB">
        <w:rPr>
          <w:rFonts w:ascii="Work Sans" w:hAnsi="Work Sans"/>
          <w:i/>
          <w:iCs/>
          <w:sz w:val="24"/>
          <w:szCs w:val="24"/>
        </w:rPr>
        <w:lastRenderedPageBreak/>
        <w:t>resolver conflictos, experiencia en la generación de proyectos comunitarios cooperativos para mejorar la infraestructura local.</w:t>
      </w:r>
    </w:p>
    <w:p w14:paraId="01701072" w14:textId="77777777" w:rsidR="007915AB" w:rsidRPr="007915AB" w:rsidRDefault="007915AB" w:rsidP="007915AB">
      <w:pPr>
        <w:ind w:left="708"/>
        <w:jc w:val="both"/>
        <w:rPr>
          <w:rFonts w:ascii="Work Sans" w:hAnsi="Work Sans"/>
          <w:i/>
          <w:iCs/>
          <w:sz w:val="24"/>
          <w:szCs w:val="24"/>
        </w:rPr>
      </w:pPr>
      <w:r w:rsidRPr="007915AB">
        <w:rPr>
          <w:rFonts w:ascii="Work Sans" w:hAnsi="Work Sans"/>
          <w:b/>
          <w:bCs/>
          <w:i/>
          <w:iCs/>
          <w:sz w:val="24"/>
          <w:szCs w:val="24"/>
        </w:rPr>
        <w:t>15.2. Nivel del desarrollo y viabilidad de la solución energética</w:t>
      </w:r>
      <w:r w:rsidRPr="007915AB">
        <w:rPr>
          <w:rFonts w:ascii="Work Sans" w:hAnsi="Work Sans"/>
          <w:i/>
          <w:iCs/>
          <w:sz w:val="24"/>
          <w:szCs w:val="24"/>
        </w:rPr>
        <w:t xml:space="preserve">. Variable que identifica el nivel de resultado esperado, en las condiciones de bienestar de la comunidad con la estructuración y viabilidad de la infraestructura y el esquema operacional de la comunidad. </w:t>
      </w:r>
    </w:p>
    <w:p w14:paraId="4333913F" w14:textId="77777777" w:rsidR="007915AB" w:rsidRPr="007915AB" w:rsidRDefault="007915AB" w:rsidP="007915AB">
      <w:pPr>
        <w:ind w:left="708"/>
        <w:jc w:val="both"/>
        <w:rPr>
          <w:rFonts w:ascii="Work Sans" w:hAnsi="Work Sans"/>
          <w:i/>
          <w:iCs/>
          <w:sz w:val="24"/>
          <w:szCs w:val="24"/>
        </w:rPr>
      </w:pPr>
      <w:r w:rsidRPr="007915AB">
        <w:rPr>
          <w:rFonts w:ascii="Work Sans" w:hAnsi="Work Sans"/>
          <w:b/>
          <w:bCs/>
          <w:i/>
          <w:iCs/>
          <w:sz w:val="24"/>
          <w:szCs w:val="24"/>
        </w:rPr>
        <w:t>15.3. Nivel de desarrollo y viabilidad de la solución productiva</w:t>
      </w:r>
      <w:r w:rsidRPr="007915AB">
        <w:rPr>
          <w:rFonts w:ascii="Work Sans" w:hAnsi="Work Sans"/>
          <w:i/>
          <w:iCs/>
          <w:sz w:val="24"/>
          <w:szCs w:val="24"/>
        </w:rPr>
        <w:t xml:space="preserve">. Variable que identifica el nivel de avance en las condiciones técnicas y/u operacionales y/o administrativas para la estructuración y viabilidad de la actividad productiva asociada a la comunidad. </w:t>
      </w:r>
    </w:p>
    <w:p w14:paraId="2C5801B2" w14:textId="77777777" w:rsidR="007915AB" w:rsidRPr="007915AB" w:rsidRDefault="007915AB" w:rsidP="007915AB">
      <w:pPr>
        <w:ind w:left="708"/>
        <w:jc w:val="both"/>
        <w:rPr>
          <w:rFonts w:ascii="Work Sans" w:hAnsi="Work Sans"/>
          <w:i/>
          <w:iCs/>
          <w:sz w:val="24"/>
          <w:szCs w:val="24"/>
        </w:rPr>
      </w:pPr>
      <w:r w:rsidRPr="007915AB">
        <w:rPr>
          <w:rFonts w:ascii="Work Sans" w:hAnsi="Work Sans"/>
          <w:b/>
          <w:bCs/>
          <w:i/>
          <w:iCs/>
          <w:sz w:val="24"/>
          <w:szCs w:val="24"/>
        </w:rPr>
        <w:t>15.4. Nivel de experiencia previa de autogestión comunitaria de la energía</w:t>
      </w:r>
      <w:r w:rsidRPr="007915AB">
        <w:rPr>
          <w:rFonts w:ascii="Work Sans" w:hAnsi="Work Sans"/>
          <w:i/>
          <w:iCs/>
          <w:sz w:val="24"/>
          <w:szCs w:val="24"/>
        </w:rPr>
        <w:t xml:space="preserve">. Variable que identifica que organizaciones proponentes tengan experiencia en el desarrollo de proyectos, iniciativas y/o procesos relacionados con la generación y gestión autónoma de la energía para satisfacer las necesidades básicas de núcleos familiares, comunidades y procesos de energías comunitarias. </w:t>
      </w:r>
    </w:p>
    <w:p w14:paraId="1A212504" w14:textId="62A8B7DC" w:rsidR="007915AB" w:rsidRDefault="007915AB" w:rsidP="007915AB">
      <w:pPr>
        <w:pStyle w:val="Sinespaciado"/>
        <w:jc w:val="both"/>
        <w:rPr>
          <w:rFonts w:ascii="Work Sans" w:hAnsi="Work Sans"/>
          <w:sz w:val="24"/>
          <w:szCs w:val="24"/>
        </w:rPr>
      </w:pPr>
      <w:r>
        <w:rPr>
          <w:rFonts w:ascii="Work Sans" w:hAnsi="Work Sans"/>
          <w:sz w:val="24"/>
          <w:szCs w:val="24"/>
        </w:rPr>
        <w:t>(…)”</w:t>
      </w:r>
    </w:p>
    <w:p w14:paraId="59FC9D41" w14:textId="77777777" w:rsidR="007915AB" w:rsidRDefault="007915AB" w:rsidP="007915AB">
      <w:pPr>
        <w:pStyle w:val="Sinespaciado"/>
        <w:jc w:val="both"/>
        <w:rPr>
          <w:rFonts w:ascii="Work Sans" w:hAnsi="Work Sans"/>
          <w:sz w:val="24"/>
          <w:szCs w:val="24"/>
        </w:rPr>
      </w:pPr>
    </w:p>
    <w:p w14:paraId="2699450D" w14:textId="6C0F1839" w:rsidR="007915AB" w:rsidRDefault="007915AB" w:rsidP="007915AB">
      <w:pPr>
        <w:pStyle w:val="Sinespaciado"/>
        <w:jc w:val="both"/>
        <w:rPr>
          <w:rFonts w:ascii="Work Sans" w:hAnsi="Work Sans"/>
          <w:sz w:val="24"/>
          <w:szCs w:val="24"/>
        </w:rPr>
      </w:pPr>
      <w:r w:rsidRPr="007915AB">
        <w:rPr>
          <w:rFonts w:ascii="Work Sans" w:hAnsi="Work Sans"/>
          <w:sz w:val="24"/>
          <w:szCs w:val="24"/>
        </w:rPr>
        <w:t>En desarrollo de dichas variables, el CAPCE podrá establecer subvariables e instrumentos metodológicos que permitan materializar los principios de focalización, priorización y eficiencia en la asignación de recursos públicos, garantizando criterios objetivos, verificables y consistentes con las realidades territoriales de las comunidades postuladas.</w:t>
      </w:r>
    </w:p>
    <w:p w14:paraId="22EC6C16" w14:textId="77777777" w:rsidR="007915AB" w:rsidRPr="007915AB" w:rsidRDefault="007915AB" w:rsidP="007915AB">
      <w:pPr>
        <w:pStyle w:val="Sinespaciado"/>
        <w:rPr>
          <w:rFonts w:ascii="Work Sans" w:hAnsi="Work Sans"/>
          <w:sz w:val="24"/>
          <w:szCs w:val="24"/>
        </w:rPr>
      </w:pPr>
    </w:p>
    <w:p w14:paraId="60FAC908" w14:textId="77777777" w:rsidR="007915AB" w:rsidRDefault="007915AB" w:rsidP="007915AB">
      <w:pPr>
        <w:jc w:val="both"/>
        <w:rPr>
          <w:rFonts w:ascii="Work Sans" w:hAnsi="Work Sans"/>
          <w:sz w:val="24"/>
          <w:szCs w:val="24"/>
        </w:rPr>
      </w:pPr>
      <w:r w:rsidRPr="007915AB">
        <w:rPr>
          <w:rFonts w:ascii="Work Sans" w:hAnsi="Work Sans"/>
          <w:sz w:val="24"/>
          <w:szCs w:val="24"/>
        </w:rPr>
        <w:t>En consecuencia, las subvariables desarrolladas a continuación constituyen instrumentos complementarios de operacionalización técnica y social de las variables definidas por la Resolución MME No. 40509 de 2024, sin modificar su contenido ni alcance regulatorio.</w:t>
      </w:r>
    </w:p>
    <w:tbl>
      <w:tblPr>
        <w:tblStyle w:val="Tablaconcuadrcula"/>
        <w:tblW w:w="5000" w:type="pct"/>
        <w:tblLook w:val="04A0" w:firstRow="1" w:lastRow="0" w:firstColumn="1" w:lastColumn="0" w:noHBand="0" w:noVBand="1"/>
      </w:tblPr>
      <w:tblGrid>
        <w:gridCol w:w="633"/>
        <w:gridCol w:w="2831"/>
        <w:gridCol w:w="2843"/>
        <w:gridCol w:w="3087"/>
      </w:tblGrid>
      <w:tr w:rsidR="007915AB" w:rsidRPr="007915AB" w14:paraId="7E5C53F0" w14:textId="77777777" w:rsidTr="007915AB">
        <w:trPr>
          <w:trHeight w:val="58"/>
          <w:tblHeader/>
        </w:trPr>
        <w:tc>
          <w:tcPr>
            <w:tcW w:w="337" w:type="pct"/>
            <w:vAlign w:val="center"/>
          </w:tcPr>
          <w:p w14:paraId="36CB34B8" w14:textId="77777777" w:rsidR="007915AB" w:rsidRPr="007915AB" w:rsidRDefault="007915AB" w:rsidP="00FC2475">
            <w:pPr>
              <w:jc w:val="center"/>
              <w:rPr>
                <w:rFonts w:ascii="Work Sans" w:hAnsi="Work Sans"/>
                <w:b/>
                <w:bCs/>
                <w:sz w:val="20"/>
                <w:szCs w:val="20"/>
              </w:rPr>
            </w:pPr>
            <w:r w:rsidRPr="007915AB">
              <w:rPr>
                <w:rFonts w:ascii="Work Sans" w:hAnsi="Work Sans"/>
                <w:b/>
                <w:bCs/>
                <w:sz w:val="20"/>
                <w:szCs w:val="20"/>
              </w:rPr>
              <w:t>No</w:t>
            </w:r>
          </w:p>
        </w:tc>
        <w:tc>
          <w:tcPr>
            <w:tcW w:w="1507" w:type="pct"/>
            <w:vAlign w:val="center"/>
          </w:tcPr>
          <w:p w14:paraId="2CB243B9" w14:textId="77777777" w:rsidR="007915AB" w:rsidRPr="007915AB" w:rsidRDefault="007915AB" w:rsidP="00FC2475">
            <w:pPr>
              <w:jc w:val="center"/>
              <w:rPr>
                <w:rFonts w:ascii="Work Sans" w:hAnsi="Work Sans"/>
                <w:b/>
                <w:bCs/>
                <w:sz w:val="20"/>
                <w:szCs w:val="20"/>
              </w:rPr>
            </w:pPr>
            <w:r w:rsidRPr="007915AB">
              <w:rPr>
                <w:rFonts w:ascii="Work Sans" w:hAnsi="Work Sans"/>
                <w:b/>
                <w:bCs/>
                <w:sz w:val="20"/>
                <w:szCs w:val="20"/>
              </w:rPr>
              <w:t>Variable de Priorización Resolución MME No. 40509 de 2024</w:t>
            </w:r>
          </w:p>
        </w:tc>
        <w:tc>
          <w:tcPr>
            <w:tcW w:w="1513" w:type="pct"/>
            <w:vAlign w:val="center"/>
          </w:tcPr>
          <w:p w14:paraId="4DDCD19E" w14:textId="77777777" w:rsidR="007915AB" w:rsidRPr="007915AB" w:rsidRDefault="007915AB" w:rsidP="00FC2475">
            <w:pPr>
              <w:jc w:val="center"/>
              <w:rPr>
                <w:rFonts w:ascii="Work Sans" w:hAnsi="Work Sans"/>
                <w:b/>
                <w:bCs/>
                <w:sz w:val="20"/>
                <w:szCs w:val="20"/>
              </w:rPr>
            </w:pPr>
            <w:r w:rsidRPr="007915AB">
              <w:rPr>
                <w:rFonts w:ascii="Work Sans" w:hAnsi="Work Sans"/>
                <w:b/>
                <w:bCs/>
                <w:sz w:val="20"/>
                <w:szCs w:val="20"/>
              </w:rPr>
              <w:t>Subvariables de priorización</w:t>
            </w:r>
          </w:p>
        </w:tc>
        <w:tc>
          <w:tcPr>
            <w:tcW w:w="1643" w:type="pct"/>
            <w:vAlign w:val="center"/>
          </w:tcPr>
          <w:p w14:paraId="2B628A31" w14:textId="77777777" w:rsidR="007915AB" w:rsidRPr="007915AB" w:rsidRDefault="007915AB" w:rsidP="00FC2475">
            <w:pPr>
              <w:jc w:val="center"/>
              <w:rPr>
                <w:rFonts w:ascii="Work Sans" w:hAnsi="Work Sans"/>
                <w:b/>
                <w:bCs/>
                <w:sz w:val="20"/>
                <w:szCs w:val="20"/>
              </w:rPr>
            </w:pPr>
            <w:r w:rsidRPr="007915AB">
              <w:rPr>
                <w:rFonts w:ascii="Work Sans" w:hAnsi="Work Sans"/>
                <w:b/>
                <w:bCs/>
                <w:sz w:val="20"/>
                <w:szCs w:val="20"/>
              </w:rPr>
              <w:t>Justificación</w:t>
            </w:r>
          </w:p>
        </w:tc>
      </w:tr>
      <w:tr w:rsidR="007915AB" w:rsidRPr="007915AB" w14:paraId="2495229E" w14:textId="77777777" w:rsidTr="007915AB">
        <w:trPr>
          <w:trHeight w:val="58"/>
        </w:trPr>
        <w:tc>
          <w:tcPr>
            <w:tcW w:w="337" w:type="pct"/>
            <w:vMerge w:val="restart"/>
            <w:vAlign w:val="center"/>
          </w:tcPr>
          <w:p w14:paraId="370D0BBC"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1</w:t>
            </w:r>
          </w:p>
        </w:tc>
        <w:tc>
          <w:tcPr>
            <w:tcW w:w="1507" w:type="pct"/>
            <w:vMerge w:val="restart"/>
            <w:vAlign w:val="center"/>
          </w:tcPr>
          <w:p w14:paraId="0A87F45B" w14:textId="77777777" w:rsidR="007915AB" w:rsidRPr="007915AB" w:rsidRDefault="007915AB" w:rsidP="00FC2475">
            <w:pPr>
              <w:jc w:val="center"/>
              <w:rPr>
                <w:rFonts w:ascii="Work Sans" w:hAnsi="Work Sans"/>
                <w:sz w:val="20"/>
                <w:szCs w:val="20"/>
              </w:rPr>
            </w:pPr>
            <w:r w:rsidRPr="007915AB">
              <w:rPr>
                <w:rFonts w:ascii="Work Sans" w:hAnsi="Work Sans"/>
                <w:i/>
                <w:iCs/>
                <w:sz w:val="20"/>
                <w:szCs w:val="20"/>
              </w:rPr>
              <w:t>Nivel de Sostenibilidad Organizacional de la Comunidad</w:t>
            </w:r>
          </w:p>
        </w:tc>
        <w:tc>
          <w:tcPr>
            <w:tcW w:w="1513" w:type="pct"/>
            <w:vAlign w:val="center"/>
          </w:tcPr>
          <w:p w14:paraId="1CB5FE5C"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Usuarios de tipo residencial</w:t>
            </w:r>
          </w:p>
          <w:p w14:paraId="0CEBC4D9" w14:textId="77777777" w:rsidR="007915AB" w:rsidRPr="007915AB" w:rsidRDefault="007915AB" w:rsidP="00FC2475">
            <w:pPr>
              <w:jc w:val="center"/>
              <w:rPr>
                <w:rFonts w:ascii="Work Sans" w:hAnsi="Work Sans"/>
                <w:sz w:val="20"/>
                <w:szCs w:val="20"/>
              </w:rPr>
            </w:pPr>
          </w:p>
        </w:tc>
        <w:tc>
          <w:tcPr>
            <w:tcW w:w="1643" w:type="pct"/>
          </w:tcPr>
          <w:p w14:paraId="4BEB7FDD" w14:textId="77777777" w:rsidR="007915AB" w:rsidRPr="007915AB" w:rsidRDefault="007915AB" w:rsidP="00FC2475">
            <w:pPr>
              <w:jc w:val="both"/>
              <w:rPr>
                <w:rFonts w:ascii="Work Sans" w:hAnsi="Work Sans"/>
                <w:sz w:val="20"/>
                <w:szCs w:val="20"/>
              </w:rPr>
            </w:pPr>
            <w:r w:rsidRPr="007915AB">
              <w:rPr>
                <w:rFonts w:ascii="Work Sans" w:hAnsi="Work Sans"/>
                <w:sz w:val="20"/>
                <w:szCs w:val="20"/>
              </w:rPr>
              <w:t xml:space="preserve">La focalización se orienta principalmente a usuarios residenciales, considerando que el propósito social de las </w:t>
            </w:r>
            <w:r w:rsidRPr="007915AB">
              <w:rPr>
                <w:rFonts w:ascii="Work Sans" w:hAnsi="Work Sans"/>
                <w:sz w:val="20"/>
                <w:szCs w:val="20"/>
              </w:rPr>
              <w:lastRenderedPageBreak/>
              <w:t>Comunidades Energéticas es mejorar las condiciones de acceso, ahorro y calidad del servicio energético en los hogares, fortaleciendo el bienestar comunitario y la participación ciudadana en la gestión energética territorial.</w:t>
            </w:r>
          </w:p>
        </w:tc>
      </w:tr>
      <w:tr w:rsidR="007915AB" w:rsidRPr="007915AB" w14:paraId="5FA9D357" w14:textId="77777777" w:rsidTr="00FC2475">
        <w:tc>
          <w:tcPr>
            <w:tcW w:w="337" w:type="pct"/>
            <w:vMerge/>
            <w:vAlign w:val="center"/>
          </w:tcPr>
          <w:p w14:paraId="085DDF5E" w14:textId="77777777" w:rsidR="007915AB" w:rsidRPr="007915AB" w:rsidRDefault="007915AB" w:rsidP="00FC2475">
            <w:pPr>
              <w:jc w:val="center"/>
              <w:rPr>
                <w:rFonts w:ascii="Work Sans" w:hAnsi="Work Sans"/>
                <w:sz w:val="20"/>
                <w:szCs w:val="20"/>
              </w:rPr>
            </w:pPr>
          </w:p>
        </w:tc>
        <w:tc>
          <w:tcPr>
            <w:tcW w:w="1507" w:type="pct"/>
            <w:vMerge/>
            <w:vAlign w:val="center"/>
          </w:tcPr>
          <w:p w14:paraId="144ED611" w14:textId="77777777" w:rsidR="007915AB" w:rsidRPr="007915AB" w:rsidRDefault="007915AB" w:rsidP="00FC2475">
            <w:pPr>
              <w:jc w:val="center"/>
              <w:rPr>
                <w:rFonts w:ascii="Work Sans" w:hAnsi="Work Sans"/>
                <w:i/>
                <w:iCs/>
                <w:sz w:val="20"/>
                <w:szCs w:val="20"/>
              </w:rPr>
            </w:pPr>
          </w:p>
        </w:tc>
        <w:tc>
          <w:tcPr>
            <w:tcW w:w="1513" w:type="pct"/>
            <w:vAlign w:val="center"/>
          </w:tcPr>
          <w:p w14:paraId="2F771781"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Usuarios normalizados</w:t>
            </w:r>
          </w:p>
          <w:p w14:paraId="06CD74BA" w14:textId="77777777" w:rsidR="007915AB" w:rsidRPr="007915AB" w:rsidRDefault="007915AB" w:rsidP="00FC2475">
            <w:pPr>
              <w:jc w:val="center"/>
              <w:rPr>
                <w:rFonts w:ascii="Work Sans" w:hAnsi="Work Sans"/>
                <w:sz w:val="20"/>
                <w:szCs w:val="20"/>
              </w:rPr>
            </w:pPr>
          </w:p>
          <w:p w14:paraId="1303B447" w14:textId="77777777" w:rsidR="007915AB" w:rsidRPr="007915AB" w:rsidRDefault="007915AB" w:rsidP="00FC2475">
            <w:pPr>
              <w:jc w:val="center"/>
              <w:rPr>
                <w:rFonts w:ascii="Work Sans" w:hAnsi="Work Sans"/>
                <w:sz w:val="20"/>
                <w:szCs w:val="20"/>
              </w:rPr>
            </w:pPr>
          </w:p>
        </w:tc>
        <w:tc>
          <w:tcPr>
            <w:tcW w:w="1643" w:type="pct"/>
          </w:tcPr>
          <w:p w14:paraId="1027BDD2" w14:textId="77777777" w:rsidR="007915AB" w:rsidRPr="007915AB" w:rsidRDefault="007915AB" w:rsidP="00FC2475">
            <w:pPr>
              <w:jc w:val="both"/>
              <w:rPr>
                <w:rFonts w:ascii="Work Sans" w:hAnsi="Work Sans"/>
                <w:sz w:val="20"/>
                <w:szCs w:val="20"/>
              </w:rPr>
            </w:pPr>
            <w:r w:rsidRPr="007915AB">
              <w:rPr>
                <w:rFonts w:ascii="Work Sans" w:hAnsi="Work Sans"/>
                <w:sz w:val="20"/>
                <w:szCs w:val="20"/>
              </w:rPr>
              <w:t>Se priorizan usuarios cuyas conexiones eléctricas se encuentren técnicamente normalizadas, garantizando condiciones mínimas de seguridad, operación y viabilidad técnica para la implementación de la infraestructura energética asociada a la Comunidad Energética.</w:t>
            </w:r>
          </w:p>
        </w:tc>
      </w:tr>
      <w:tr w:rsidR="007915AB" w:rsidRPr="007915AB" w14:paraId="1791CC87" w14:textId="77777777" w:rsidTr="007915AB">
        <w:trPr>
          <w:trHeight w:val="58"/>
        </w:trPr>
        <w:tc>
          <w:tcPr>
            <w:tcW w:w="337" w:type="pct"/>
            <w:vAlign w:val="center"/>
          </w:tcPr>
          <w:p w14:paraId="111D9756" w14:textId="77777777" w:rsidR="007915AB" w:rsidRPr="007915AB" w:rsidRDefault="007915AB" w:rsidP="00FC2475">
            <w:pPr>
              <w:jc w:val="center"/>
              <w:rPr>
                <w:rFonts w:ascii="Work Sans" w:hAnsi="Work Sans"/>
                <w:sz w:val="20"/>
                <w:szCs w:val="20"/>
              </w:rPr>
            </w:pPr>
          </w:p>
        </w:tc>
        <w:tc>
          <w:tcPr>
            <w:tcW w:w="1507" w:type="pct"/>
            <w:vMerge/>
            <w:vAlign w:val="center"/>
          </w:tcPr>
          <w:p w14:paraId="374372D8" w14:textId="77777777" w:rsidR="007915AB" w:rsidRPr="007915AB" w:rsidRDefault="007915AB" w:rsidP="00FC2475">
            <w:pPr>
              <w:jc w:val="center"/>
              <w:rPr>
                <w:rFonts w:ascii="Work Sans" w:hAnsi="Work Sans"/>
                <w:i/>
                <w:iCs/>
                <w:sz w:val="20"/>
                <w:szCs w:val="20"/>
              </w:rPr>
            </w:pPr>
          </w:p>
        </w:tc>
        <w:tc>
          <w:tcPr>
            <w:tcW w:w="1513" w:type="pct"/>
            <w:vAlign w:val="center"/>
          </w:tcPr>
          <w:p w14:paraId="31998F94"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Usuarios oficiales e infraestructura pública</w:t>
            </w:r>
          </w:p>
          <w:p w14:paraId="6B25E2B3" w14:textId="77777777" w:rsidR="007915AB" w:rsidRPr="007915AB" w:rsidRDefault="007915AB" w:rsidP="00FC2475">
            <w:pPr>
              <w:jc w:val="center"/>
              <w:rPr>
                <w:rFonts w:ascii="Work Sans" w:hAnsi="Work Sans"/>
                <w:sz w:val="20"/>
                <w:szCs w:val="20"/>
              </w:rPr>
            </w:pPr>
          </w:p>
        </w:tc>
        <w:tc>
          <w:tcPr>
            <w:tcW w:w="1643" w:type="pct"/>
          </w:tcPr>
          <w:p w14:paraId="2776E73D" w14:textId="77777777" w:rsidR="007915AB" w:rsidRPr="007915AB" w:rsidRDefault="007915AB" w:rsidP="00FC2475">
            <w:pPr>
              <w:jc w:val="both"/>
              <w:rPr>
                <w:rFonts w:ascii="Work Sans" w:hAnsi="Work Sans"/>
                <w:sz w:val="20"/>
                <w:szCs w:val="20"/>
              </w:rPr>
            </w:pPr>
            <w:r w:rsidRPr="007915AB">
              <w:rPr>
                <w:rFonts w:ascii="Work Sans" w:hAnsi="Work Sans"/>
                <w:sz w:val="20"/>
                <w:szCs w:val="20"/>
              </w:rPr>
              <w:t>Se contempla la inclusión de usuarios oficiales o infraestructura pública/comunitaria que participe mediante la disposición de predios o espacios para el desarrollo del proyecto, permitiendo que parte de la energía generada beneficie equipamientos comunitarios y fortalezca el impacto colectivo de la Comunidad Energética.</w:t>
            </w:r>
          </w:p>
        </w:tc>
      </w:tr>
      <w:tr w:rsidR="007915AB" w:rsidRPr="007915AB" w14:paraId="60986E6C" w14:textId="77777777" w:rsidTr="00FC2475">
        <w:tc>
          <w:tcPr>
            <w:tcW w:w="337" w:type="pct"/>
            <w:vMerge w:val="restart"/>
            <w:vAlign w:val="center"/>
          </w:tcPr>
          <w:p w14:paraId="4F6027D1"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2</w:t>
            </w:r>
          </w:p>
        </w:tc>
        <w:tc>
          <w:tcPr>
            <w:tcW w:w="1507" w:type="pct"/>
            <w:vMerge w:val="restart"/>
            <w:vAlign w:val="center"/>
          </w:tcPr>
          <w:p w14:paraId="36E44F6C" w14:textId="77777777" w:rsidR="007915AB" w:rsidRPr="007915AB" w:rsidRDefault="007915AB" w:rsidP="00FC2475">
            <w:pPr>
              <w:jc w:val="center"/>
              <w:rPr>
                <w:rFonts w:ascii="Work Sans" w:hAnsi="Work Sans"/>
                <w:sz w:val="20"/>
                <w:szCs w:val="20"/>
              </w:rPr>
            </w:pPr>
            <w:r w:rsidRPr="007915AB">
              <w:rPr>
                <w:rFonts w:ascii="Work Sans" w:hAnsi="Work Sans"/>
                <w:i/>
                <w:iCs/>
                <w:sz w:val="20"/>
                <w:szCs w:val="20"/>
              </w:rPr>
              <w:t>Nivel del desarrollo y viabilidad de la solución energética</w:t>
            </w:r>
          </w:p>
        </w:tc>
        <w:tc>
          <w:tcPr>
            <w:tcW w:w="1513" w:type="pct"/>
            <w:vAlign w:val="center"/>
          </w:tcPr>
          <w:p w14:paraId="6FC7BB8C"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Usuarios con deudas ante el Operador de Red</w:t>
            </w:r>
          </w:p>
          <w:p w14:paraId="5C72D77A" w14:textId="77777777" w:rsidR="007915AB" w:rsidRPr="007915AB" w:rsidRDefault="007915AB" w:rsidP="00FC2475">
            <w:pPr>
              <w:jc w:val="center"/>
              <w:rPr>
                <w:rFonts w:ascii="Work Sans" w:hAnsi="Work Sans"/>
                <w:sz w:val="20"/>
                <w:szCs w:val="20"/>
              </w:rPr>
            </w:pPr>
          </w:p>
        </w:tc>
        <w:tc>
          <w:tcPr>
            <w:tcW w:w="1643" w:type="pct"/>
          </w:tcPr>
          <w:p w14:paraId="3CC159A2" w14:textId="77777777" w:rsidR="007915AB" w:rsidRPr="007915AB" w:rsidRDefault="007915AB" w:rsidP="00FC2475">
            <w:pPr>
              <w:jc w:val="both"/>
              <w:rPr>
                <w:rFonts w:ascii="Work Sans" w:hAnsi="Work Sans"/>
                <w:sz w:val="20"/>
                <w:szCs w:val="20"/>
              </w:rPr>
            </w:pPr>
            <w:r w:rsidRPr="007915AB">
              <w:rPr>
                <w:rFonts w:ascii="Work Sans" w:hAnsi="Work Sans"/>
                <w:sz w:val="20"/>
                <w:szCs w:val="20"/>
              </w:rPr>
              <w:t xml:space="preserve">Se contempla la inclusión de usuarios que presenten cartera pendiente con el Operador de Red, siempre que manifiesten voluntad de </w:t>
            </w:r>
            <w:r w:rsidRPr="007915AB">
              <w:rPr>
                <w:rFonts w:ascii="Work Sans" w:hAnsi="Work Sans"/>
                <w:sz w:val="20"/>
                <w:szCs w:val="20"/>
              </w:rPr>
              <w:lastRenderedPageBreak/>
              <w:t>suscribir acuerdos de pago o procesos de normalización. Este criterio busca evitar que las dificultades económicas históricas se conviertan en una barrera de acceso a la transición energética, especialmente en regiones como la Costa Atlántica, donde históricamente se han presentado altos niveles de cartera vencida y problemáticas asociadas al acceso y sostenibilidad del servicio eléctrico.</w:t>
            </w:r>
          </w:p>
        </w:tc>
      </w:tr>
      <w:tr w:rsidR="007915AB" w:rsidRPr="007915AB" w14:paraId="417D8BF2" w14:textId="77777777" w:rsidTr="00FC2475">
        <w:tc>
          <w:tcPr>
            <w:tcW w:w="337" w:type="pct"/>
            <w:vMerge/>
            <w:vAlign w:val="center"/>
          </w:tcPr>
          <w:p w14:paraId="52D10584" w14:textId="77777777" w:rsidR="007915AB" w:rsidRPr="007915AB" w:rsidRDefault="007915AB" w:rsidP="00FC2475">
            <w:pPr>
              <w:jc w:val="center"/>
              <w:rPr>
                <w:rFonts w:ascii="Work Sans" w:hAnsi="Work Sans"/>
                <w:sz w:val="20"/>
                <w:szCs w:val="20"/>
              </w:rPr>
            </w:pPr>
          </w:p>
        </w:tc>
        <w:tc>
          <w:tcPr>
            <w:tcW w:w="1507" w:type="pct"/>
            <w:vMerge/>
            <w:vAlign w:val="center"/>
          </w:tcPr>
          <w:p w14:paraId="37CD8274" w14:textId="77777777" w:rsidR="007915AB" w:rsidRPr="007915AB" w:rsidRDefault="007915AB" w:rsidP="00FC2475">
            <w:pPr>
              <w:jc w:val="center"/>
              <w:rPr>
                <w:rFonts w:ascii="Work Sans" w:hAnsi="Work Sans"/>
                <w:i/>
                <w:iCs/>
                <w:sz w:val="20"/>
                <w:szCs w:val="20"/>
              </w:rPr>
            </w:pPr>
          </w:p>
        </w:tc>
        <w:tc>
          <w:tcPr>
            <w:tcW w:w="1513" w:type="pct"/>
            <w:vAlign w:val="center"/>
          </w:tcPr>
          <w:p w14:paraId="62126C63"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w:t>
            </w:r>
            <w:r w:rsidRPr="007915AB">
              <w:rPr>
                <w:rFonts w:ascii="Work Sans" w:hAnsi="Work Sans"/>
                <w:i/>
                <w:iCs/>
                <w:sz w:val="20"/>
                <w:szCs w:val="20"/>
              </w:rPr>
              <w:t>atomización de beneficiarios”</w:t>
            </w:r>
          </w:p>
        </w:tc>
        <w:tc>
          <w:tcPr>
            <w:tcW w:w="1643" w:type="pct"/>
          </w:tcPr>
          <w:p w14:paraId="77D50068" w14:textId="77777777" w:rsidR="007915AB" w:rsidRPr="007915AB" w:rsidRDefault="007915AB" w:rsidP="00FC2475">
            <w:pPr>
              <w:jc w:val="both"/>
              <w:rPr>
                <w:rFonts w:ascii="Work Sans" w:hAnsi="Work Sans"/>
                <w:sz w:val="20"/>
                <w:szCs w:val="20"/>
              </w:rPr>
            </w:pPr>
            <w:r w:rsidRPr="007915AB">
              <w:rPr>
                <w:rFonts w:ascii="Work Sans" w:hAnsi="Work Sans"/>
                <w:sz w:val="20"/>
                <w:szCs w:val="20"/>
              </w:rPr>
              <w:t>entendida como la ampliación de cobertura de usuarios beneficiarios en lugar de concentrar la generación de excedentes energéticos en pocos usuarios. En dicho espacio se recomendó expresamente que, cuando un proyecto genere excedentes, se priorice la incorporación de nuevos usuarios o la conformación de comunidades cercanas que puedan aprovechar dicha energía.</w:t>
            </w:r>
          </w:p>
        </w:tc>
      </w:tr>
      <w:tr w:rsidR="007915AB" w:rsidRPr="007915AB" w14:paraId="4726B135" w14:textId="77777777" w:rsidTr="00FC2475">
        <w:tc>
          <w:tcPr>
            <w:tcW w:w="337" w:type="pct"/>
            <w:vAlign w:val="center"/>
          </w:tcPr>
          <w:p w14:paraId="086E87A1"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3</w:t>
            </w:r>
          </w:p>
        </w:tc>
        <w:tc>
          <w:tcPr>
            <w:tcW w:w="1507" w:type="pct"/>
            <w:vAlign w:val="center"/>
          </w:tcPr>
          <w:p w14:paraId="1355CE42" w14:textId="77777777" w:rsidR="007915AB" w:rsidRPr="007915AB" w:rsidRDefault="007915AB" w:rsidP="00FC2475">
            <w:pPr>
              <w:jc w:val="center"/>
              <w:rPr>
                <w:rFonts w:ascii="Work Sans" w:hAnsi="Work Sans"/>
                <w:sz w:val="20"/>
                <w:szCs w:val="20"/>
              </w:rPr>
            </w:pPr>
            <w:r w:rsidRPr="007915AB">
              <w:rPr>
                <w:rFonts w:ascii="Work Sans" w:hAnsi="Work Sans"/>
                <w:i/>
                <w:iCs/>
                <w:sz w:val="20"/>
                <w:szCs w:val="20"/>
              </w:rPr>
              <w:t>Nivel de desarrollo y viabilidad de la solución productiva</w:t>
            </w:r>
          </w:p>
        </w:tc>
        <w:tc>
          <w:tcPr>
            <w:tcW w:w="1513" w:type="pct"/>
            <w:vAlign w:val="center"/>
          </w:tcPr>
          <w:p w14:paraId="5DD6783E"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No Aplica</w:t>
            </w:r>
          </w:p>
        </w:tc>
        <w:tc>
          <w:tcPr>
            <w:tcW w:w="1643" w:type="pct"/>
            <w:vAlign w:val="center"/>
          </w:tcPr>
          <w:p w14:paraId="07CFBA31"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No Aplica</w:t>
            </w:r>
          </w:p>
        </w:tc>
      </w:tr>
      <w:tr w:rsidR="007915AB" w:rsidRPr="007915AB" w14:paraId="3F1F38D9" w14:textId="77777777" w:rsidTr="00FC2475">
        <w:tc>
          <w:tcPr>
            <w:tcW w:w="337" w:type="pct"/>
            <w:vAlign w:val="center"/>
          </w:tcPr>
          <w:p w14:paraId="32691C11"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4</w:t>
            </w:r>
          </w:p>
        </w:tc>
        <w:tc>
          <w:tcPr>
            <w:tcW w:w="1507" w:type="pct"/>
            <w:vAlign w:val="center"/>
          </w:tcPr>
          <w:p w14:paraId="05667B8A" w14:textId="77777777" w:rsidR="007915AB" w:rsidRPr="007915AB" w:rsidRDefault="007915AB" w:rsidP="00FC2475">
            <w:pPr>
              <w:jc w:val="center"/>
              <w:rPr>
                <w:rFonts w:ascii="Work Sans" w:hAnsi="Work Sans"/>
                <w:sz w:val="20"/>
                <w:szCs w:val="20"/>
              </w:rPr>
            </w:pPr>
            <w:r w:rsidRPr="007915AB">
              <w:rPr>
                <w:rFonts w:ascii="Work Sans" w:hAnsi="Work Sans"/>
                <w:i/>
                <w:iCs/>
                <w:sz w:val="20"/>
                <w:szCs w:val="20"/>
              </w:rPr>
              <w:t>Nivel de experiencia previa de autogestión comunitaria de la energía</w:t>
            </w:r>
          </w:p>
        </w:tc>
        <w:tc>
          <w:tcPr>
            <w:tcW w:w="1513" w:type="pct"/>
            <w:vAlign w:val="center"/>
          </w:tcPr>
          <w:p w14:paraId="479E1BEC"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No Aplica</w:t>
            </w:r>
          </w:p>
        </w:tc>
        <w:tc>
          <w:tcPr>
            <w:tcW w:w="1643" w:type="pct"/>
            <w:vAlign w:val="center"/>
          </w:tcPr>
          <w:p w14:paraId="17A20ED1" w14:textId="77777777" w:rsidR="007915AB" w:rsidRPr="007915AB" w:rsidRDefault="007915AB" w:rsidP="00FC2475">
            <w:pPr>
              <w:jc w:val="center"/>
              <w:rPr>
                <w:rFonts w:ascii="Work Sans" w:hAnsi="Work Sans"/>
                <w:sz w:val="20"/>
                <w:szCs w:val="20"/>
              </w:rPr>
            </w:pPr>
            <w:r w:rsidRPr="007915AB">
              <w:rPr>
                <w:rFonts w:ascii="Work Sans" w:hAnsi="Work Sans"/>
                <w:sz w:val="20"/>
                <w:szCs w:val="20"/>
              </w:rPr>
              <w:t>No Aplica</w:t>
            </w:r>
          </w:p>
        </w:tc>
      </w:tr>
    </w:tbl>
    <w:p w14:paraId="78125160" w14:textId="0FD6A17E" w:rsidR="006C7CA7" w:rsidRPr="007915AB" w:rsidRDefault="007915AB" w:rsidP="00A32A07">
      <w:pPr>
        <w:jc w:val="both"/>
        <w:rPr>
          <w:rFonts w:ascii="Work Sans" w:hAnsi="Work Sans"/>
          <w:sz w:val="24"/>
          <w:szCs w:val="24"/>
        </w:rPr>
      </w:pPr>
      <w:r w:rsidRPr="007915AB">
        <w:rPr>
          <w:rFonts w:ascii="Work Sans" w:hAnsi="Work Sans"/>
          <w:sz w:val="24"/>
          <w:szCs w:val="24"/>
        </w:rPr>
        <w:lastRenderedPageBreak/>
        <w:t>Con el fin de garantizar criterios objetivos y comparables para la priorización de usuarios beneficiarios, se adopta la siguiente metodología de ponderación:</w:t>
      </w:r>
    </w:p>
    <w:tbl>
      <w:tblPr>
        <w:tblW w:w="5000" w:type="pct"/>
        <w:jc w:val="center"/>
        <w:tblLayout w:type="fixed"/>
        <w:tblCellMar>
          <w:left w:w="70" w:type="dxa"/>
          <w:right w:w="70" w:type="dxa"/>
        </w:tblCellMar>
        <w:tblLook w:val="04A0" w:firstRow="1" w:lastRow="0" w:firstColumn="1" w:lastColumn="0" w:noHBand="0" w:noVBand="1"/>
      </w:tblPr>
      <w:tblGrid>
        <w:gridCol w:w="561"/>
        <w:gridCol w:w="1986"/>
        <w:gridCol w:w="2709"/>
        <w:gridCol w:w="2069"/>
        <w:gridCol w:w="2069"/>
      </w:tblGrid>
      <w:tr w:rsidR="006C7CA7" w:rsidRPr="007915AB" w14:paraId="1B559FA4" w14:textId="77777777" w:rsidTr="006C7CA7">
        <w:trPr>
          <w:trHeight w:val="288"/>
          <w:tblHeader/>
          <w:jc w:val="center"/>
        </w:trPr>
        <w:tc>
          <w:tcPr>
            <w:tcW w:w="299" w:type="pct"/>
            <w:tcBorders>
              <w:top w:val="single" w:sz="4" w:space="0" w:color="auto"/>
              <w:left w:val="single" w:sz="4" w:space="0" w:color="auto"/>
              <w:bottom w:val="single" w:sz="4" w:space="0" w:color="auto"/>
              <w:right w:val="single" w:sz="4" w:space="0" w:color="auto"/>
            </w:tcBorders>
            <w:noWrap/>
            <w:vAlign w:val="center"/>
            <w:hideMark/>
          </w:tcPr>
          <w:p w14:paraId="4C17C77A" w14:textId="77777777" w:rsidR="006C7CA7" w:rsidRPr="007915AB" w:rsidRDefault="006C7CA7" w:rsidP="006C7CA7">
            <w:pPr>
              <w:suppressAutoHyphens w:val="0"/>
              <w:spacing w:after="0" w:line="240" w:lineRule="auto"/>
              <w:jc w:val="center"/>
              <w:rPr>
                <w:rFonts w:ascii="Work Sans" w:eastAsia="Times New Roman" w:hAnsi="Work Sans" w:cs="Times New Roman"/>
                <w:b/>
                <w:bCs/>
                <w:color w:val="000000"/>
                <w:sz w:val="20"/>
                <w:szCs w:val="20"/>
                <w:lang w:eastAsia="es-CO"/>
              </w:rPr>
            </w:pPr>
            <w:r w:rsidRPr="007915AB">
              <w:rPr>
                <w:rFonts w:ascii="Work Sans" w:eastAsia="Times New Roman" w:hAnsi="Work Sans" w:cs="Times New Roman"/>
                <w:b/>
                <w:bCs/>
                <w:color w:val="000000"/>
                <w:sz w:val="20"/>
                <w:szCs w:val="20"/>
                <w:lang w:eastAsia="es-CO"/>
              </w:rPr>
              <w:t>No</w:t>
            </w:r>
          </w:p>
        </w:tc>
        <w:tc>
          <w:tcPr>
            <w:tcW w:w="1057" w:type="pct"/>
            <w:tcBorders>
              <w:top w:val="single" w:sz="4" w:space="0" w:color="auto"/>
              <w:left w:val="nil"/>
              <w:bottom w:val="single" w:sz="4" w:space="0" w:color="auto"/>
              <w:right w:val="single" w:sz="4" w:space="0" w:color="auto"/>
            </w:tcBorders>
            <w:noWrap/>
            <w:vAlign w:val="center"/>
            <w:hideMark/>
          </w:tcPr>
          <w:p w14:paraId="474C7A0C" w14:textId="4211F4CD" w:rsidR="006C7CA7" w:rsidRPr="007915AB" w:rsidRDefault="006C7CA7" w:rsidP="006C7CA7">
            <w:pPr>
              <w:suppressAutoHyphens w:val="0"/>
              <w:spacing w:after="0" w:line="240" w:lineRule="auto"/>
              <w:jc w:val="center"/>
              <w:rPr>
                <w:rFonts w:ascii="Work Sans" w:eastAsia="Times New Roman" w:hAnsi="Work Sans" w:cs="Times New Roman"/>
                <w:b/>
                <w:bCs/>
                <w:color w:val="000000"/>
                <w:sz w:val="20"/>
                <w:szCs w:val="20"/>
                <w:lang w:eastAsia="es-CO"/>
              </w:rPr>
            </w:pPr>
            <w:r w:rsidRPr="007915AB">
              <w:rPr>
                <w:rFonts w:ascii="Work Sans" w:eastAsia="Times New Roman" w:hAnsi="Work Sans" w:cs="Times New Roman"/>
                <w:b/>
                <w:bCs/>
                <w:color w:val="000000"/>
                <w:sz w:val="20"/>
                <w:szCs w:val="20"/>
                <w:lang w:eastAsia="es-CO"/>
              </w:rPr>
              <w:t>Variable</w:t>
            </w:r>
          </w:p>
        </w:tc>
        <w:tc>
          <w:tcPr>
            <w:tcW w:w="1442" w:type="pct"/>
            <w:tcBorders>
              <w:top w:val="single" w:sz="4" w:space="0" w:color="auto"/>
              <w:left w:val="nil"/>
              <w:bottom w:val="single" w:sz="4" w:space="0" w:color="auto"/>
              <w:right w:val="single" w:sz="4" w:space="0" w:color="auto"/>
            </w:tcBorders>
            <w:noWrap/>
            <w:vAlign w:val="center"/>
            <w:hideMark/>
          </w:tcPr>
          <w:p w14:paraId="5BF2F952" w14:textId="77777777" w:rsidR="006C7CA7" w:rsidRPr="007915AB" w:rsidRDefault="006C7CA7" w:rsidP="006C7CA7">
            <w:pPr>
              <w:suppressAutoHyphens w:val="0"/>
              <w:spacing w:after="0" w:line="240" w:lineRule="auto"/>
              <w:jc w:val="center"/>
              <w:rPr>
                <w:rFonts w:ascii="Work Sans" w:eastAsia="Times New Roman" w:hAnsi="Work Sans" w:cs="Times New Roman"/>
                <w:b/>
                <w:bCs/>
                <w:color w:val="000000"/>
                <w:sz w:val="20"/>
                <w:szCs w:val="20"/>
                <w:lang w:eastAsia="es-CO"/>
              </w:rPr>
            </w:pPr>
            <w:r w:rsidRPr="007915AB">
              <w:rPr>
                <w:rFonts w:ascii="Work Sans" w:eastAsia="Times New Roman" w:hAnsi="Work Sans" w:cs="Times New Roman"/>
                <w:b/>
                <w:bCs/>
                <w:color w:val="000000"/>
                <w:sz w:val="20"/>
                <w:szCs w:val="20"/>
                <w:lang w:eastAsia="es-CO"/>
              </w:rPr>
              <w:t>Sub Variable</w:t>
            </w:r>
          </w:p>
        </w:tc>
        <w:tc>
          <w:tcPr>
            <w:tcW w:w="1101" w:type="pct"/>
            <w:tcBorders>
              <w:top w:val="single" w:sz="4" w:space="0" w:color="auto"/>
              <w:left w:val="nil"/>
              <w:bottom w:val="single" w:sz="4" w:space="0" w:color="auto"/>
              <w:right w:val="single" w:sz="4" w:space="0" w:color="auto"/>
            </w:tcBorders>
            <w:noWrap/>
            <w:vAlign w:val="center"/>
            <w:hideMark/>
          </w:tcPr>
          <w:p w14:paraId="1353AC43" w14:textId="6497B330" w:rsidR="006C7CA7" w:rsidRPr="007915AB" w:rsidRDefault="006C7CA7" w:rsidP="006C7CA7">
            <w:pPr>
              <w:suppressAutoHyphens w:val="0"/>
              <w:spacing w:after="0" w:line="240" w:lineRule="auto"/>
              <w:jc w:val="center"/>
              <w:rPr>
                <w:rFonts w:ascii="Work Sans" w:eastAsia="Times New Roman" w:hAnsi="Work Sans" w:cs="Times New Roman"/>
                <w:b/>
                <w:bCs/>
                <w:color w:val="000000"/>
                <w:sz w:val="20"/>
                <w:szCs w:val="20"/>
                <w:lang w:eastAsia="es-CO"/>
              </w:rPr>
            </w:pPr>
            <w:r w:rsidRPr="007915AB">
              <w:rPr>
                <w:rFonts w:ascii="Work Sans" w:eastAsia="Times New Roman" w:hAnsi="Work Sans" w:cs="Times New Roman"/>
                <w:b/>
                <w:bCs/>
                <w:color w:val="000000"/>
                <w:sz w:val="20"/>
                <w:szCs w:val="20"/>
                <w:lang w:eastAsia="es-CO"/>
              </w:rPr>
              <w:t>Puntuación por subvariable</w:t>
            </w:r>
          </w:p>
        </w:tc>
        <w:tc>
          <w:tcPr>
            <w:tcW w:w="1101" w:type="pct"/>
            <w:tcBorders>
              <w:top w:val="single" w:sz="4" w:space="0" w:color="auto"/>
              <w:left w:val="nil"/>
              <w:bottom w:val="single" w:sz="4" w:space="0" w:color="auto"/>
              <w:right w:val="single" w:sz="4" w:space="0" w:color="auto"/>
            </w:tcBorders>
            <w:noWrap/>
            <w:vAlign w:val="center"/>
            <w:hideMark/>
          </w:tcPr>
          <w:p w14:paraId="0C044848" w14:textId="4B14372B" w:rsidR="006C7CA7" w:rsidRPr="007915AB" w:rsidRDefault="006C7CA7" w:rsidP="006C7CA7">
            <w:pPr>
              <w:suppressAutoHyphens w:val="0"/>
              <w:spacing w:after="0" w:line="240" w:lineRule="auto"/>
              <w:jc w:val="center"/>
              <w:rPr>
                <w:rFonts w:ascii="Work Sans" w:eastAsia="Times New Roman" w:hAnsi="Work Sans" w:cs="Times New Roman"/>
                <w:b/>
                <w:bCs/>
                <w:color w:val="000000"/>
                <w:sz w:val="20"/>
                <w:szCs w:val="20"/>
                <w:lang w:eastAsia="es-CO"/>
              </w:rPr>
            </w:pPr>
            <w:r w:rsidRPr="007915AB">
              <w:rPr>
                <w:rFonts w:ascii="Work Sans" w:eastAsia="Times New Roman" w:hAnsi="Work Sans" w:cs="Times New Roman"/>
                <w:b/>
                <w:bCs/>
                <w:color w:val="000000"/>
                <w:sz w:val="20"/>
                <w:szCs w:val="20"/>
                <w:lang w:eastAsia="es-CO"/>
              </w:rPr>
              <w:t>Puntuación</w:t>
            </w:r>
            <w:r w:rsidRPr="007915AB">
              <w:rPr>
                <w:rFonts w:ascii="Work Sans" w:eastAsia="Times New Roman" w:hAnsi="Work Sans" w:cs="Times New Roman"/>
                <w:b/>
                <w:bCs/>
                <w:color w:val="000000"/>
                <w:sz w:val="20"/>
                <w:szCs w:val="20"/>
                <w:lang w:eastAsia="es-CO"/>
              </w:rPr>
              <w:t xml:space="preserve"> Total</w:t>
            </w:r>
          </w:p>
        </w:tc>
      </w:tr>
      <w:tr w:rsidR="006C7CA7" w:rsidRPr="007915AB" w14:paraId="1C71C8B6" w14:textId="77777777" w:rsidTr="006C7CA7">
        <w:trPr>
          <w:trHeight w:val="288"/>
          <w:jc w:val="center"/>
        </w:trPr>
        <w:tc>
          <w:tcPr>
            <w:tcW w:w="299" w:type="pct"/>
            <w:vMerge w:val="restart"/>
            <w:tcBorders>
              <w:top w:val="nil"/>
              <w:left w:val="single" w:sz="4" w:space="0" w:color="auto"/>
              <w:bottom w:val="single" w:sz="4" w:space="0" w:color="000000"/>
              <w:right w:val="single" w:sz="4" w:space="0" w:color="auto"/>
            </w:tcBorders>
            <w:noWrap/>
            <w:vAlign w:val="center"/>
            <w:hideMark/>
          </w:tcPr>
          <w:p w14:paraId="3EDA13DF" w14:textId="77777777" w:rsidR="006C7CA7" w:rsidRPr="007915AB" w:rsidRDefault="006C7CA7" w:rsidP="006C7CA7">
            <w:pPr>
              <w:suppressAutoHyphens w:val="0"/>
              <w:spacing w:after="0" w:line="240" w:lineRule="auto"/>
              <w:jc w:val="center"/>
              <w:rPr>
                <w:rFonts w:ascii="Work Sans" w:eastAsia="Times New Roman" w:hAnsi="Work Sans" w:cs="Times New Roman"/>
                <w:b/>
                <w:bCs/>
                <w:color w:val="000000"/>
                <w:sz w:val="20"/>
                <w:szCs w:val="20"/>
                <w:lang w:eastAsia="es-CO"/>
              </w:rPr>
            </w:pPr>
            <w:r w:rsidRPr="007915AB">
              <w:rPr>
                <w:rFonts w:ascii="Work Sans" w:eastAsia="Times New Roman" w:hAnsi="Work Sans" w:cs="Times New Roman"/>
                <w:b/>
                <w:bCs/>
                <w:color w:val="000000"/>
                <w:sz w:val="20"/>
                <w:szCs w:val="20"/>
                <w:lang w:eastAsia="es-CO"/>
              </w:rPr>
              <w:t>1</w:t>
            </w:r>
          </w:p>
        </w:tc>
        <w:tc>
          <w:tcPr>
            <w:tcW w:w="1057" w:type="pct"/>
            <w:vMerge w:val="restart"/>
            <w:tcBorders>
              <w:top w:val="nil"/>
              <w:left w:val="single" w:sz="4" w:space="0" w:color="auto"/>
              <w:bottom w:val="single" w:sz="4" w:space="0" w:color="000000"/>
              <w:right w:val="single" w:sz="4" w:space="0" w:color="auto"/>
            </w:tcBorders>
            <w:vAlign w:val="center"/>
            <w:hideMark/>
          </w:tcPr>
          <w:p w14:paraId="4F391BD1"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Nivel de Sostenibilidad Organizacional de la Comunidad</w:t>
            </w:r>
          </w:p>
        </w:tc>
        <w:tc>
          <w:tcPr>
            <w:tcW w:w="1442" w:type="pct"/>
            <w:tcBorders>
              <w:top w:val="nil"/>
              <w:left w:val="nil"/>
              <w:bottom w:val="single" w:sz="4" w:space="0" w:color="auto"/>
              <w:right w:val="single" w:sz="4" w:space="0" w:color="auto"/>
            </w:tcBorders>
            <w:noWrap/>
            <w:vAlign w:val="center"/>
            <w:hideMark/>
          </w:tcPr>
          <w:p w14:paraId="5CECF78B"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Usuarios de tipo residencial</w:t>
            </w:r>
          </w:p>
        </w:tc>
        <w:tc>
          <w:tcPr>
            <w:tcW w:w="1101" w:type="pct"/>
            <w:tcBorders>
              <w:top w:val="nil"/>
              <w:left w:val="nil"/>
              <w:bottom w:val="single" w:sz="4" w:space="0" w:color="auto"/>
              <w:right w:val="single" w:sz="4" w:space="0" w:color="auto"/>
            </w:tcBorders>
            <w:noWrap/>
            <w:vAlign w:val="center"/>
            <w:hideMark/>
          </w:tcPr>
          <w:p w14:paraId="09E16871"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3,3333</w:t>
            </w:r>
          </w:p>
        </w:tc>
        <w:tc>
          <w:tcPr>
            <w:tcW w:w="1101" w:type="pct"/>
            <w:vMerge w:val="restart"/>
            <w:tcBorders>
              <w:top w:val="nil"/>
              <w:left w:val="single" w:sz="4" w:space="0" w:color="auto"/>
              <w:bottom w:val="single" w:sz="4" w:space="0" w:color="000000"/>
              <w:right w:val="single" w:sz="4" w:space="0" w:color="auto"/>
            </w:tcBorders>
            <w:noWrap/>
            <w:vAlign w:val="center"/>
            <w:hideMark/>
          </w:tcPr>
          <w:p w14:paraId="27705B78" w14:textId="067F92DB"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10</w:t>
            </w:r>
          </w:p>
        </w:tc>
      </w:tr>
      <w:tr w:rsidR="006C7CA7" w:rsidRPr="007915AB" w14:paraId="16C6A1B8" w14:textId="77777777" w:rsidTr="006C7CA7">
        <w:trPr>
          <w:trHeight w:val="300"/>
          <w:jc w:val="center"/>
        </w:trPr>
        <w:tc>
          <w:tcPr>
            <w:tcW w:w="299" w:type="pct"/>
            <w:vMerge/>
            <w:tcBorders>
              <w:top w:val="nil"/>
              <w:left w:val="single" w:sz="4" w:space="0" w:color="auto"/>
              <w:bottom w:val="single" w:sz="4" w:space="0" w:color="000000"/>
              <w:right w:val="single" w:sz="4" w:space="0" w:color="auto"/>
            </w:tcBorders>
            <w:vAlign w:val="center"/>
            <w:hideMark/>
          </w:tcPr>
          <w:p w14:paraId="542DB7D9" w14:textId="77777777" w:rsidR="006C7CA7" w:rsidRPr="007915AB" w:rsidRDefault="006C7CA7" w:rsidP="006C7CA7">
            <w:pPr>
              <w:suppressAutoHyphens w:val="0"/>
              <w:spacing w:after="0" w:line="240" w:lineRule="auto"/>
              <w:jc w:val="center"/>
              <w:rPr>
                <w:rFonts w:ascii="Work Sans" w:eastAsia="Times New Roman" w:hAnsi="Work Sans" w:cs="Times New Roman"/>
                <w:b/>
                <w:bCs/>
                <w:color w:val="000000"/>
                <w:sz w:val="20"/>
                <w:szCs w:val="20"/>
                <w:lang w:eastAsia="es-CO"/>
              </w:rPr>
            </w:pPr>
          </w:p>
        </w:tc>
        <w:tc>
          <w:tcPr>
            <w:tcW w:w="1057" w:type="pct"/>
            <w:vMerge/>
            <w:tcBorders>
              <w:top w:val="nil"/>
              <w:left w:val="single" w:sz="4" w:space="0" w:color="auto"/>
              <w:bottom w:val="single" w:sz="4" w:space="0" w:color="000000"/>
              <w:right w:val="single" w:sz="4" w:space="0" w:color="auto"/>
            </w:tcBorders>
            <w:vAlign w:val="center"/>
            <w:hideMark/>
          </w:tcPr>
          <w:p w14:paraId="78F2CF7A"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p>
        </w:tc>
        <w:tc>
          <w:tcPr>
            <w:tcW w:w="1442" w:type="pct"/>
            <w:tcBorders>
              <w:top w:val="nil"/>
              <w:left w:val="nil"/>
              <w:bottom w:val="single" w:sz="4" w:space="0" w:color="auto"/>
              <w:right w:val="single" w:sz="4" w:space="0" w:color="auto"/>
            </w:tcBorders>
            <w:noWrap/>
            <w:vAlign w:val="center"/>
            <w:hideMark/>
          </w:tcPr>
          <w:p w14:paraId="160E7EBF"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Usuarios normalizados</w:t>
            </w:r>
          </w:p>
        </w:tc>
        <w:tc>
          <w:tcPr>
            <w:tcW w:w="1101" w:type="pct"/>
            <w:tcBorders>
              <w:top w:val="nil"/>
              <w:left w:val="nil"/>
              <w:bottom w:val="single" w:sz="4" w:space="0" w:color="auto"/>
              <w:right w:val="single" w:sz="4" w:space="0" w:color="auto"/>
            </w:tcBorders>
            <w:noWrap/>
            <w:vAlign w:val="center"/>
            <w:hideMark/>
          </w:tcPr>
          <w:p w14:paraId="45212FF1"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3,3333</w:t>
            </w:r>
          </w:p>
        </w:tc>
        <w:tc>
          <w:tcPr>
            <w:tcW w:w="1101" w:type="pct"/>
            <w:vMerge/>
            <w:tcBorders>
              <w:top w:val="nil"/>
              <w:left w:val="single" w:sz="4" w:space="0" w:color="auto"/>
              <w:bottom w:val="single" w:sz="4" w:space="0" w:color="000000"/>
              <w:right w:val="single" w:sz="4" w:space="0" w:color="auto"/>
            </w:tcBorders>
            <w:vAlign w:val="center"/>
            <w:hideMark/>
          </w:tcPr>
          <w:p w14:paraId="25390020"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p>
        </w:tc>
      </w:tr>
      <w:tr w:rsidR="006C7CA7" w:rsidRPr="007915AB" w14:paraId="0C6F5926" w14:textId="77777777" w:rsidTr="006C7CA7">
        <w:trPr>
          <w:trHeight w:val="288"/>
          <w:jc w:val="center"/>
        </w:trPr>
        <w:tc>
          <w:tcPr>
            <w:tcW w:w="299" w:type="pct"/>
            <w:vMerge/>
            <w:tcBorders>
              <w:top w:val="nil"/>
              <w:left w:val="single" w:sz="4" w:space="0" w:color="auto"/>
              <w:bottom w:val="single" w:sz="4" w:space="0" w:color="000000"/>
              <w:right w:val="single" w:sz="4" w:space="0" w:color="auto"/>
            </w:tcBorders>
            <w:vAlign w:val="center"/>
            <w:hideMark/>
          </w:tcPr>
          <w:p w14:paraId="5D36DE5E" w14:textId="77777777" w:rsidR="006C7CA7" w:rsidRPr="007915AB" w:rsidRDefault="006C7CA7" w:rsidP="006C7CA7">
            <w:pPr>
              <w:suppressAutoHyphens w:val="0"/>
              <w:spacing w:after="0" w:line="240" w:lineRule="auto"/>
              <w:jc w:val="center"/>
              <w:rPr>
                <w:rFonts w:ascii="Work Sans" w:eastAsia="Times New Roman" w:hAnsi="Work Sans" w:cs="Times New Roman"/>
                <w:b/>
                <w:bCs/>
                <w:color w:val="000000"/>
                <w:sz w:val="20"/>
                <w:szCs w:val="20"/>
                <w:lang w:eastAsia="es-CO"/>
              </w:rPr>
            </w:pPr>
          </w:p>
        </w:tc>
        <w:tc>
          <w:tcPr>
            <w:tcW w:w="1057" w:type="pct"/>
            <w:vMerge/>
            <w:tcBorders>
              <w:top w:val="nil"/>
              <w:left w:val="single" w:sz="4" w:space="0" w:color="auto"/>
              <w:bottom w:val="single" w:sz="4" w:space="0" w:color="000000"/>
              <w:right w:val="single" w:sz="4" w:space="0" w:color="auto"/>
            </w:tcBorders>
            <w:vAlign w:val="center"/>
            <w:hideMark/>
          </w:tcPr>
          <w:p w14:paraId="1CFDA3C7"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p>
        </w:tc>
        <w:tc>
          <w:tcPr>
            <w:tcW w:w="1442" w:type="pct"/>
            <w:tcBorders>
              <w:top w:val="nil"/>
              <w:left w:val="nil"/>
              <w:bottom w:val="single" w:sz="4" w:space="0" w:color="auto"/>
              <w:right w:val="single" w:sz="4" w:space="0" w:color="auto"/>
            </w:tcBorders>
            <w:noWrap/>
            <w:vAlign w:val="center"/>
            <w:hideMark/>
          </w:tcPr>
          <w:p w14:paraId="4980C4C9"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Usuarios oficiales e infraestructura pública</w:t>
            </w:r>
          </w:p>
        </w:tc>
        <w:tc>
          <w:tcPr>
            <w:tcW w:w="1101" w:type="pct"/>
            <w:tcBorders>
              <w:top w:val="nil"/>
              <w:left w:val="nil"/>
              <w:bottom w:val="single" w:sz="4" w:space="0" w:color="auto"/>
              <w:right w:val="single" w:sz="4" w:space="0" w:color="auto"/>
            </w:tcBorders>
            <w:noWrap/>
            <w:vAlign w:val="center"/>
            <w:hideMark/>
          </w:tcPr>
          <w:p w14:paraId="6C0A3566"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3,3333</w:t>
            </w:r>
          </w:p>
        </w:tc>
        <w:tc>
          <w:tcPr>
            <w:tcW w:w="1101" w:type="pct"/>
            <w:vMerge/>
            <w:tcBorders>
              <w:top w:val="nil"/>
              <w:left w:val="single" w:sz="4" w:space="0" w:color="auto"/>
              <w:bottom w:val="single" w:sz="4" w:space="0" w:color="000000"/>
              <w:right w:val="single" w:sz="4" w:space="0" w:color="auto"/>
            </w:tcBorders>
            <w:vAlign w:val="center"/>
            <w:hideMark/>
          </w:tcPr>
          <w:p w14:paraId="5EAF76D9"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p>
        </w:tc>
      </w:tr>
      <w:tr w:rsidR="006C7CA7" w:rsidRPr="007915AB" w14:paraId="0C27CFAF" w14:textId="77777777" w:rsidTr="006C7CA7">
        <w:trPr>
          <w:trHeight w:val="288"/>
          <w:jc w:val="center"/>
        </w:trPr>
        <w:tc>
          <w:tcPr>
            <w:tcW w:w="299" w:type="pct"/>
            <w:vMerge w:val="restart"/>
            <w:tcBorders>
              <w:top w:val="nil"/>
              <w:left w:val="single" w:sz="4" w:space="0" w:color="auto"/>
              <w:bottom w:val="single" w:sz="4" w:space="0" w:color="000000"/>
              <w:right w:val="single" w:sz="4" w:space="0" w:color="auto"/>
            </w:tcBorders>
            <w:noWrap/>
            <w:vAlign w:val="center"/>
            <w:hideMark/>
          </w:tcPr>
          <w:p w14:paraId="26BBB304" w14:textId="77777777" w:rsidR="006C7CA7" w:rsidRPr="007915AB" w:rsidRDefault="006C7CA7" w:rsidP="006C7CA7">
            <w:pPr>
              <w:suppressAutoHyphens w:val="0"/>
              <w:spacing w:after="0" w:line="240" w:lineRule="auto"/>
              <w:jc w:val="center"/>
              <w:rPr>
                <w:rFonts w:ascii="Work Sans" w:eastAsia="Times New Roman" w:hAnsi="Work Sans" w:cs="Times New Roman"/>
                <w:b/>
                <w:bCs/>
                <w:color w:val="000000"/>
                <w:sz w:val="20"/>
                <w:szCs w:val="20"/>
                <w:lang w:eastAsia="es-CO"/>
              </w:rPr>
            </w:pPr>
            <w:r w:rsidRPr="007915AB">
              <w:rPr>
                <w:rFonts w:ascii="Work Sans" w:eastAsia="Times New Roman" w:hAnsi="Work Sans" w:cs="Times New Roman"/>
                <w:b/>
                <w:bCs/>
                <w:color w:val="000000"/>
                <w:sz w:val="20"/>
                <w:szCs w:val="20"/>
                <w:lang w:eastAsia="es-CO"/>
              </w:rPr>
              <w:t>2</w:t>
            </w:r>
          </w:p>
        </w:tc>
        <w:tc>
          <w:tcPr>
            <w:tcW w:w="1057" w:type="pct"/>
            <w:vMerge w:val="restart"/>
            <w:tcBorders>
              <w:top w:val="nil"/>
              <w:left w:val="single" w:sz="4" w:space="0" w:color="auto"/>
              <w:bottom w:val="single" w:sz="4" w:space="0" w:color="000000"/>
              <w:right w:val="single" w:sz="4" w:space="0" w:color="auto"/>
            </w:tcBorders>
            <w:vAlign w:val="center"/>
            <w:hideMark/>
          </w:tcPr>
          <w:p w14:paraId="09CF5A60"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Nivel del desarrollo y viabilidad de la solución energética</w:t>
            </w:r>
          </w:p>
        </w:tc>
        <w:tc>
          <w:tcPr>
            <w:tcW w:w="1442" w:type="pct"/>
            <w:tcBorders>
              <w:top w:val="nil"/>
              <w:left w:val="nil"/>
              <w:bottom w:val="single" w:sz="4" w:space="0" w:color="auto"/>
              <w:right w:val="single" w:sz="4" w:space="0" w:color="auto"/>
            </w:tcBorders>
            <w:noWrap/>
            <w:vAlign w:val="center"/>
            <w:hideMark/>
          </w:tcPr>
          <w:p w14:paraId="72CAD802"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Usuarios con deudas ante el Operador de Red</w:t>
            </w:r>
          </w:p>
        </w:tc>
        <w:tc>
          <w:tcPr>
            <w:tcW w:w="1101" w:type="pct"/>
            <w:tcBorders>
              <w:top w:val="nil"/>
              <w:left w:val="nil"/>
              <w:bottom w:val="single" w:sz="4" w:space="0" w:color="auto"/>
              <w:right w:val="single" w:sz="4" w:space="0" w:color="auto"/>
            </w:tcBorders>
            <w:noWrap/>
            <w:vAlign w:val="center"/>
            <w:hideMark/>
          </w:tcPr>
          <w:p w14:paraId="6ACDBB56"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5</w:t>
            </w:r>
          </w:p>
        </w:tc>
        <w:tc>
          <w:tcPr>
            <w:tcW w:w="1101" w:type="pct"/>
            <w:vMerge w:val="restart"/>
            <w:tcBorders>
              <w:top w:val="nil"/>
              <w:left w:val="single" w:sz="4" w:space="0" w:color="auto"/>
              <w:bottom w:val="single" w:sz="4" w:space="0" w:color="000000"/>
              <w:right w:val="single" w:sz="4" w:space="0" w:color="auto"/>
            </w:tcBorders>
            <w:noWrap/>
            <w:vAlign w:val="center"/>
            <w:hideMark/>
          </w:tcPr>
          <w:p w14:paraId="7198C0C2"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10</w:t>
            </w:r>
          </w:p>
        </w:tc>
      </w:tr>
      <w:tr w:rsidR="006C7CA7" w:rsidRPr="007915AB" w14:paraId="670AD85F" w14:textId="77777777" w:rsidTr="006C7CA7">
        <w:trPr>
          <w:trHeight w:val="300"/>
          <w:jc w:val="center"/>
        </w:trPr>
        <w:tc>
          <w:tcPr>
            <w:tcW w:w="299" w:type="pct"/>
            <w:vMerge/>
            <w:tcBorders>
              <w:top w:val="nil"/>
              <w:left w:val="single" w:sz="4" w:space="0" w:color="auto"/>
              <w:bottom w:val="single" w:sz="4" w:space="0" w:color="000000"/>
              <w:right w:val="single" w:sz="4" w:space="0" w:color="auto"/>
            </w:tcBorders>
            <w:vAlign w:val="center"/>
            <w:hideMark/>
          </w:tcPr>
          <w:p w14:paraId="6E573421" w14:textId="77777777" w:rsidR="006C7CA7" w:rsidRPr="007915AB" w:rsidRDefault="006C7CA7" w:rsidP="006C7CA7">
            <w:pPr>
              <w:suppressAutoHyphens w:val="0"/>
              <w:spacing w:after="0" w:line="240" w:lineRule="auto"/>
              <w:jc w:val="center"/>
              <w:rPr>
                <w:rFonts w:ascii="Work Sans" w:eastAsia="Times New Roman" w:hAnsi="Work Sans" w:cs="Times New Roman"/>
                <w:b/>
                <w:bCs/>
                <w:color w:val="000000"/>
                <w:sz w:val="20"/>
                <w:szCs w:val="20"/>
                <w:lang w:eastAsia="es-CO"/>
              </w:rPr>
            </w:pPr>
          </w:p>
        </w:tc>
        <w:tc>
          <w:tcPr>
            <w:tcW w:w="1057" w:type="pct"/>
            <w:vMerge/>
            <w:tcBorders>
              <w:top w:val="nil"/>
              <w:left w:val="single" w:sz="4" w:space="0" w:color="auto"/>
              <w:bottom w:val="single" w:sz="4" w:space="0" w:color="000000"/>
              <w:right w:val="single" w:sz="4" w:space="0" w:color="auto"/>
            </w:tcBorders>
            <w:vAlign w:val="center"/>
            <w:hideMark/>
          </w:tcPr>
          <w:p w14:paraId="2277C1BD"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p>
        </w:tc>
        <w:tc>
          <w:tcPr>
            <w:tcW w:w="1442" w:type="pct"/>
            <w:tcBorders>
              <w:top w:val="nil"/>
              <w:left w:val="nil"/>
              <w:bottom w:val="single" w:sz="4" w:space="0" w:color="auto"/>
              <w:right w:val="single" w:sz="4" w:space="0" w:color="auto"/>
            </w:tcBorders>
            <w:noWrap/>
            <w:vAlign w:val="center"/>
            <w:hideMark/>
          </w:tcPr>
          <w:p w14:paraId="67502AED"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“atomización de beneficiarios”</w:t>
            </w:r>
          </w:p>
        </w:tc>
        <w:tc>
          <w:tcPr>
            <w:tcW w:w="1101" w:type="pct"/>
            <w:tcBorders>
              <w:top w:val="nil"/>
              <w:left w:val="nil"/>
              <w:bottom w:val="single" w:sz="4" w:space="0" w:color="auto"/>
              <w:right w:val="single" w:sz="4" w:space="0" w:color="auto"/>
            </w:tcBorders>
            <w:noWrap/>
            <w:vAlign w:val="center"/>
            <w:hideMark/>
          </w:tcPr>
          <w:p w14:paraId="098BB9F1"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5</w:t>
            </w:r>
          </w:p>
        </w:tc>
        <w:tc>
          <w:tcPr>
            <w:tcW w:w="1101" w:type="pct"/>
            <w:vMerge/>
            <w:tcBorders>
              <w:top w:val="nil"/>
              <w:left w:val="single" w:sz="4" w:space="0" w:color="auto"/>
              <w:bottom w:val="single" w:sz="4" w:space="0" w:color="000000"/>
              <w:right w:val="single" w:sz="4" w:space="0" w:color="auto"/>
            </w:tcBorders>
            <w:vAlign w:val="center"/>
            <w:hideMark/>
          </w:tcPr>
          <w:p w14:paraId="5068FEFC"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p>
        </w:tc>
      </w:tr>
      <w:tr w:rsidR="006C7CA7" w:rsidRPr="007915AB" w14:paraId="6E285635" w14:textId="77777777" w:rsidTr="006C7CA7">
        <w:trPr>
          <w:trHeight w:val="288"/>
          <w:jc w:val="center"/>
        </w:trPr>
        <w:tc>
          <w:tcPr>
            <w:tcW w:w="299" w:type="pct"/>
            <w:tcBorders>
              <w:top w:val="nil"/>
              <w:left w:val="single" w:sz="4" w:space="0" w:color="auto"/>
              <w:bottom w:val="single" w:sz="4" w:space="0" w:color="auto"/>
              <w:right w:val="single" w:sz="4" w:space="0" w:color="auto"/>
            </w:tcBorders>
            <w:noWrap/>
            <w:vAlign w:val="center"/>
            <w:hideMark/>
          </w:tcPr>
          <w:p w14:paraId="261B91A6" w14:textId="77777777" w:rsidR="006C7CA7" w:rsidRPr="007915AB" w:rsidRDefault="006C7CA7" w:rsidP="006C7CA7">
            <w:pPr>
              <w:suppressAutoHyphens w:val="0"/>
              <w:spacing w:after="0" w:line="240" w:lineRule="auto"/>
              <w:jc w:val="center"/>
              <w:rPr>
                <w:rFonts w:ascii="Work Sans" w:eastAsia="Times New Roman" w:hAnsi="Work Sans" w:cs="Times New Roman"/>
                <w:b/>
                <w:bCs/>
                <w:color w:val="000000"/>
                <w:sz w:val="20"/>
                <w:szCs w:val="20"/>
                <w:lang w:eastAsia="es-CO"/>
              </w:rPr>
            </w:pPr>
            <w:r w:rsidRPr="007915AB">
              <w:rPr>
                <w:rFonts w:ascii="Work Sans" w:eastAsia="Times New Roman" w:hAnsi="Work Sans" w:cs="Times New Roman"/>
                <w:b/>
                <w:bCs/>
                <w:color w:val="000000"/>
                <w:sz w:val="20"/>
                <w:szCs w:val="20"/>
                <w:lang w:eastAsia="es-CO"/>
              </w:rPr>
              <w:t>3</w:t>
            </w:r>
          </w:p>
        </w:tc>
        <w:tc>
          <w:tcPr>
            <w:tcW w:w="1057" w:type="pct"/>
            <w:tcBorders>
              <w:top w:val="nil"/>
              <w:left w:val="nil"/>
              <w:bottom w:val="single" w:sz="4" w:space="0" w:color="auto"/>
              <w:right w:val="single" w:sz="4" w:space="0" w:color="auto"/>
            </w:tcBorders>
            <w:vAlign w:val="center"/>
            <w:hideMark/>
          </w:tcPr>
          <w:p w14:paraId="0AAF5EAE"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Nivel de desarrollo y viabilidad de la solución productiva</w:t>
            </w:r>
          </w:p>
        </w:tc>
        <w:tc>
          <w:tcPr>
            <w:tcW w:w="1442" w:type="pct"/>
            <w:tcBorders>
              <w:top w:val="nil"/>
              <w:left w:val="nil"/>
              <w:bottom w:val="single" w:sz="4" w:space="0" w:color="auto"/>
              <w:right w:val="single" w:sz="4" w:space="0" w:color="auto"/>
            </w:tcBorders>
            <w:noWrap/>
            <w:vAlign w:val="center"/>
            <w:hideMark/>
          </w:tcPr>
          <w:p w14:paraId="04CFF6BB"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No aplica</w:t>
            </w:r>
          </w:p>
        </w:tc>
        <w:tc>
          <w:tcPr>
            <w:tcW w:w="1101" w:type="pct"/>
            <w:tcBorders>
              <w:top w:val="nil"/>
              <w:left w:val="nil"/>
              <w:bottom w:val="single" w:sz="4" w:space="0" w:color="auto"/>
              <w:right w:val="single" w:sz="4" w:space="0" w:color="auto"/>
            </w:tcBorders>
            <w:noWrap/>
            <w:vAlign w:val="center"/>
            <w:hideMark/>
          </w:tcPr>
          <w:p w14:paraId="39391C48"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0</w:t>
            </w:r>
          </w:p>
        </w:tc>
        <w:tc>
          <w:tcPr>
            <w:tcW w:w="1101" w:type="pct"/>
            <w:tcBorders>
              <w:top w:val="nil"/>
              <w:left w:val="nil"/>
              <w:bottom w:val="single" w:sz="4" w:space="0" w:color="auto"/>
              <w:right w:val="single" w:sz="4" w:space="0" w:color="auto"/>
            </w:tcBorders>
            <w:noWrap/>
            <w:vAlign w:val="center"/>
            <w:hideMark/>
          </w:tcPr>
          <w:p w14:paraId="5EFEC069"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0</w:t>
            </w:r>
          </w:p>
        </w:tc>
      </w:tr>
      <w:tr w:rsidR="006C7CA7" w:rsidRPr="007915AB" w14:paraId="276B45B0" w14:textId="77777777" w:rsidTr="006C7CA7">
        <w:trPr>
          <w:trHeight w:val="528"/>
          <w:jc w:val="center"/>
        </w:trPr>
        <w:tc>
          <w:tcPr>
            <w:tcW w:w="299" w:type="pct"/>
            <w:tcBorders>
              <w:top w:val="nil"/>
              <w:left w:val="single" w:sz="4" w:space="0" w:color="auto"/>
              <w:bottom w:val="single" w:sz="4" w:space="0" w:color="auto"/>
              <w:right w:val="single" w:sz="4" w:space="0" w:color="auto"/>
            </w:tcBorders>
            <w:noWrap/>
            <w:vAlign w:val="center"/>
            <w:hideMark/>
          </w:tcPr>
          <w:p w14:paraId="1C8015D5" w14:textId="77777777" w:rsidR="006C7CA7" w:rsidRPr="007915AB" w:rsidRDefault="006C7CA7" w:rsidP="006C7CA7">
            <w:pPr>
              <w:suppressAutoHyphens w:val="0"/>
              <w:spacing w:after="0" w:line="240" w:lineRule="auto"/>
              <w:jc w:val="center"/>
              <w:rPr>
                <w:rFonts w:ascii="Work Sans" w:eastAsia="Times New Roman" w:hAnsi="Work Sans" w:cs="Times New Roman"/>
                <w:b/>
                <w:bCs/>
                <w:color w:val="000000"/>
                <w:sz w:val="20"/>
                <w:szCs w:val="20"/>
                <w:lang w:eastAsia="es-CO"/>
              </w:rPr>
            </w:pPr>
            <w:r w:rsidRPr="007915AB">
              <w:rPr>
                <w:rFonts w:ascii="Work Sans" w:eastAsia="Times New Roman" w:hAnsi="Work Sans" w:cs="Times New Roman"/>
                <w:b/>
                <w:bCs/>
                <w:color w:val="000000"/>
                <w:sz w:val="20"/>
                <w:szCs w:val="20"/>
                <w:lang w:eastAsia="es-CO"/>
              </w:rPr>
              <w:t>4</w:t>
            </w:r>
          </w:p>
        </w:tc>
        <w:tc>
          <w:tcPr>
            <w:tcW w:w="1057" w:type="pct"/>
            <w:tcBorders>
              <w:top w:val="nil"/>
              <w:left w:val="nil"/>
              <w:bottom w:val="single" w:sz="4" w:space="0" w:color="auto"/>
              <w:right w:val="single" w:sz="4" w:space="0" w:color="auto"/>
            </w:tcBorders>
            <w:vAlign w:val="center"/>
            <w:hideMark/>
          </w:tcPr>
          <w:p w14:paraId="78D2597A"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Nivel de experiencia previa de autogestión comunitaria de la energía</w:t>
            </w:r>
          </w:p>
        </w:tc>
        <w:tc>
          <w:tcPr>
            <w:tcW w:w="1442" w:type="pct"/>
            <w:tcBorders>
              <w:top w:val="nil"/>
              <w:left w:val="nil"/>
              <w:bottom w:val="single" w:sz="4" w:space="0" w:color="auto"/>
              <w:right w:val="single" w:sz="4" w:space="0" w:color="auto"/>
            </w:tcBorders>
            <w:noWrap/>
            <w:vAlign w:val="center"/>
            <w:hideMark/>
          </w:tcPr>
          <w:p w14:paraId="38BF9A00"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No aplica</w:t>
            </w:r>
          </w:p>
        </w:tc>
        <w:tc>
          <w:tcPr>
            <w:tcW w:w="1101" w:type="pct"/>
            <w:tcBorders>
              <w:top w:val="nil"/>
              <w:left w:val="nil"/>
              <w:bottom w:val="single" w:sz="4" w:space="0" w:color="auto"/>
              <w:right w:val="single" w:sz="4" w:space="0" w:color="auto"/>
            </w:tcBorders>
            <w:noWrap/>
            <w:vAlign w:val="center"/>
            <w:hideMark/>
          </w:tcPr>
          <w:p w14:paraId="2983D56E"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0</w:t>
            </w:r>
          </w:p>
        </w:tc>
        <w:tc>
          <w:tcPr>
            <w:tcW w:w="1101" w:type="pct"/>
            <w:tcBorders>
              <w:top w:val="nil"/>
              <w:left w:val="nil"/>
              <w:bottom w:val="single" w:sz="4" w:space="0" w:color="auto"/>
              <w:right w:val="single" w:sz="4" w:space="0" w:color="auto"/>
            </w:tcBorders>
            <w:noWrap/>
            <w:vAlign w:val="center"/>
            <w:hideMark/>
          </w:tcPr>
          <w:p w14:paraId="419FB839" w14:textId="77777777" w:rsidR="006C7CA7" w:rsidRPr="007915AB" w:rsidRDefault="006C7CA7" w:rsidP="006C7CA7">
            <w:pPr>
              <w:suppressAutoHyphens w:val="0"/>
              <w:spacing w:after="0" w:line="240" w:lineRule="auto"/>
              <w:jc w:val="center"/>
              <w:rPr>
                <w:rFonts w:ascii="Work Sans" w:eastAsia="Times New Roman" w:hAnsi="Work Sans" w:cs="Times New Roman"/>
                <w:color w:val="000000"/>
                <w:sz w:val="20"/>
                <w:szCs w:val="20"/>
                <w:lang w:eastAsia="es-CO"/>
              </w:rPr>
            </w:pPr>
            <w:r w:rsidRPr="007915AB">
              <w:rPr>
                <w:rFonts w:ascii="Work Sans" w:eastAsia="Times New Roman" w:hAnsi="Work Sans" w:cs="Times New Roman"/>
                <w:color w:val="000000"/>
                <w:sz w:val="20"/>
                <w:szCs w:val="20"/>
                <w:lang w:eastAsia="es-CO"/>
              </w:rPr>
              <w:t>0</w:t>
            </w:r>
          </w:p>
        </w:tc>
      </w:tr>
    </w:tbl>
    <w:p w14:paraId="29B5AB6C" w14:textId="77777777" w:rsidR="007915AB" w:rsidRDefault="007915AB" w:rsidP="00A32A07">
      <w:pPr>
        <w:jc w:val="both"/>
        <w:rPr>
          <w:rFonts w:ascii="Work Sans" w:hAnsi="Work Sans"/>
          <w:color w:val="EE0000"/>
          <w:sz w:val="24"/>
          <w:szCs w:val="24"/>
        </w:rPr>
      </w:pPr>
    </w:p>
    <w:p w14:paraId="23F6314F" w14:textId="77777777" w:rsidR="007915AB" w:rsidRDefault="00BC6821" w:rsidP="00A32A07">
      <w:pPr>
        <w:jc w:val="both"/>
        <w:rPr>
          <w:rFonts w:ascii="Work Sans" w:hAnsi="Work Sans"/>
          <w:sz w:val="24"/>
          <w:szCs w:val="24"/>
        </w:rPr>
      </w:pPr>
      <w:commentRangeStart w:id="1"/>
      <w:r w:rsidRPr="007915AB">
        <w:rPr>
          <w:rFonts w:ascii="Work Sans" w:hAnsi="Work Sans"/>
          <w:color w:val="EE0000"/>
          <w:sz w:val="24"/>
          <w:szCs w:val="24"/>
        </w:rPr>
        <w:t xml:space="preserve">Estos son criterios de focalización, ya están en la Resolución MME No. 40509 de 2024: </w:t>
      </w:r>
      <w:commentRangeEnd w:id="1"/>
      <w:r w:rsidR="007915AB">
        <w:rPr>
          <w:rStyle w:val="Refdecomentario"/>
          <w:rFonts w:ascii="Work Sans" w:hAnsi="Work Sans"/>
          <w:sz w:val="24"/>
          <w:szCs w:val="24"/>
        </w:rPr>
        <w:commentReference w:id="1"/>
      </w:r>
    </w:p>
    <w:p w14:paraId="472D9B10" w14:textId="24747D43" w:rsidR="00A32A07" w:rsidRPr="007915AB" w:rsidRDefault="00A32A07" w:rsidP="00A32A07">
      <w:pPr>
        <w:jc w:val="both"/>
        <w:rPr>
          <w:rFonts w:ascii="Work Sans" w:hAnsi="Work Sans"/>
          <w:sz w:val="24"/>
          <w:szCs w:val="24"/>
        </w:rPr>
      </w:pPr>
      <w:r w:rsidRPr="007915AB">
        <w:rPr>
          <w:rFonts w:ascii="Work Sans" w:hAnsi="Work Sans"/>
          <w:sz w:val="24"/>
          <w:szCs w:val="24"/>
        </w:rPr>
        <w:t>Criterios sociales y de focalización previamente aprobados por el CAPSE de noviembre de 2025</w:t>
      </w:r>
    </w:p>
    <w:p w14:paraId="3BA27F11" w14:textId="77777777" w:rsidR="00A32A07" w:rsidRPr="007915AB" w:rsidRDefault="00A32A07" w:rsidP="00A32A07">
      <w:pPr>
        <w:jc w:val="both"/>
        <w:rPr>
          <w:rFonts w:ascii="Work Sans" w:hAnsi="Work Sans"/>
          <w:sz w:val="24"/>
          <w:szCs w:val="24"/>
        </w:rPr>
      </w:pPr>
    </w:p>
    <w:p w14:paraId="63F1893D" w14:textId="5737BFFD" w:rsidR="00A32A07" w:rsidRPr="007915AB" w:rsidRDefault="00A32A07" w:rsidP="00A32A07">
      <w:pPr>
        <w:jc w:val="both"/>
        <w:rPr>
          <w:rFonts w:ascii="Work Sans" w:hAnsi="Work Sans"/>
          <w:sz w:val="24"/>
          <w:szCs w:val="24"/>
        </w:rPr>
      </w:pPr>
      <w:r w:rsidRPr="007915AB">
        <w:rPr>
          <w:rFonts w:ascii="Work Sans" w:hAnsi="Work Sans"/>
          <w:sz w:val="24"/>
          <w:szCs w:val="24"/>
        </w:rPr>
        <w:t>1. Índice de Pobreza Multidimensional (IPM – DANE)</w:t>
      </w:r>
      <w:r w:rsidR="00D524A2" w:rsidRPr="007915AB">
        <w:rPr>
          <w:rFonts w:ascii="Work Sans" w:hAnsi="Work Sans"/>
          <w:sz w:val="24"/>
          <w:szCs w:val="24"/>
        </w:rPr>
        <w:t xml:space="preserve"> </w:t>
      </w:r>
      <w:r w:rsidR="00D524A2" w:rsidRPr="007915AB">
        <w:rPr>
          <w:rFonts w:ascii="Work Sans" w:hAnsi="Work Sans"/>
          <w:sz w:val="24"/>
          <w:szCs w:val="24"/>
          <w:highlight w:val="yellow"/>
        </w:rPr>
        <w:t>(FOCALIZACIÓN)</w:t>
      </w:r>
      <w:r w:rsidR="00D524A2" w:rsidRPr="007915AB">
        <w:rPr>
          <w:rFonts w:ascii="Work Sans" w:hAnsi="Work Sans"/>
          <w:sz w:val="24"/>
          <w:szCs w:val="24"/>
        </w:rPr>
        <w:t xml:space="preserve"> </w:t>
      </w:r>
    </w:p>
    <w:p w14:paraId="442ACFBD" w14:textId="77777777" w:rsidR="00A32A07" w:rsidRPr="007915AB" w:rsidRDefault="00A32A07" w:rsidP="00A32A07">
      <w:pPr>
        <w:jc w:val="both"/>
        <w:rPr>
          <w:rFonts w:ascii="Work Sans" w:hAnsi="Work Sans"/>
          <w:sz w:val="24"/>
          <w:szCs w:val="24"/>
        </w:rPr>
      </w:pPr>
    </w:p>
    <w:p w14:paraId="397052B0" w14:textId="77777777" w:rsidR="00A32A07" w:rsidRPr="007915AB" w:rsidRDefault="00A32A07" w:rsidP="00A32A07">
      <w:pPr>
        <w:jc w:val="both"/>
        <w:rPr>
          <w:rFonts w:ascii="Work Sans" w:hAnsi="Work Sans"/>
          <w:sz w:val="24"/>
          <w:szCs w:val="24"/>
        </w:rPr>
      </w:pPr>
      <w:r w:rsidRPr="007915AB">
        <w:rPr>
          <w:rFonts w:ascii="Work Sans" w:hAnsi="Work Sans"/>
          <w:sz w:val="24"/>
          <w:szCs w:val="24"/>
        </w:rPr>
        <w:t>Se priorizan municipios y hogares con mayores índices de pobreza multidimensional, aplicando criterios de discriminación positiva hacia los territorios con mayores niveles de vulnerabilidad. Este criterio permite focalizar los beneficios en poblaciones con mayores carencias en materia de acceso a servicios públicos, educación, empleo y condiciones de vivienda, contribuyendo al cierre de brechas sociales y territoriales.</w:t>
      </w:r>
    </w:p>
    <w:p w14:paraId="2520F94A" w14:textId="77777777" w:rsidR="00A32A07" w:rsidRPr="007915AB" w:rsidRDefault="00A32A07" w:rsidP="00A32A07">
      <w:pPr>
        <w:jc w:val="both"/>
        <w:rPr>
          <w:rFonts w:ascii="Work Sans" w:hAnsi="Work Sans"/>
          <w:sz w:val="24"/>
          <w:szCs w:val="24"/>
        </w:rPr>
      </w:pPr>
    </w:p>
    <w:p w14:paraId="7D084D11" w14:textId="099AC278" w:rsidR="00A32A07" w:rsidRPr="007915AB" w:rsidRDefault="00A32A07" w:rsidP="00A32A07">
      <w:pPr>
        <w:jc w:val="both"/>
        <w:rPr>
          <w:rFonts w:ascii="Work Sans" w:hAnsi="Work Sans"/>
          <w:sz w:val="24"/>
          <w:szCs w:val="24"/>
        </w:rPr>
      </w:pPr>
      <w:r w:rsidRPr="007915AB">
        <w:rPr>
          <w:rFonts w:ascii="Work Sans" w:hAnsi="Work Sans"/>
          <w:sz w:val="24"/>
          <w:szCs w:val="24"/>
        </w:rPr>
        <w:lastRenderedPageBreak/>
        <w:t>2. Índice de Pobreza Energética Multidimensional</w:t>
      </w:r>
      <w:r w:rsidR="00D524A2" w:rsidRPr="007915AB">
        <w:rPr>
          <w:rFonts w:ascii="Work Sans" w:hAnsi="Work Sans"/>
          <w:sz w:val="24"/>
          <w:szCs w:val="24"/>
        </w:rPr>
        <w:t xml:space="preserve"> </w:t>
      </w:r>
      <w:r w:rsidR="00D524A2" w:rsidRPr="007915AB">
        <w:rPr>
          <w:rFonts w:ascii="Work Sans" w:hAnsi="Work Sans"/>
          <w:sz w:val="24"/>
          <w:szCs w:val="24"/>
          <w:highlight w:val="yellow"/>
        </w:rPr>
        <w:t>(FOCALIZACIÓN)</w:t>
      </w:r>
    </w:p>
    <w:p w14:paraId="4281866D" w14:textId="77777777" w:rsidR="00A32A07" w:rsidRPr="007915AB" w:rsidRDefault="00A32A07" w:rsidP="00A32A07">
      <w:pPr>
        <w:jc w:val="both"/>
        <w:rPr>
          <w:rFonts w:ascii="Work Sans" w:hAnsi="Work Sans"/>
          <w:sz w:val="24"/>
          <w:szCs w:val="24"/>
        </w:rPr>
      </w:pPr>
    </w:p>
    <w:p w14:paraId="7E0EEA2C" w14:textId="77777777" w:rsidR="00A32A07" w:rsidRPr="007915AB" w:rsidRDefault="00A32A07" w:rsidP="00A32A07">
      <w:pPr>
        <w:jc w:val="both"/>
        <w:rPr>
          <w:rFonts w:ascii="Work Sans" w:hAnsi="Work Sans"/>
          <w:sz w:val="24"/>
          <w:szCs w:val="24"/>
        </w:rPr>
      </w:pPr>
      <w:r w:rsidRPr="007915AB">
        <w:rPr>
          <w:rFonts w:ascii="Work Sans" w:hAnsi="Work Sans"/>
          <w:sz w:val="24"/>
          <w:szCs w:val="24"/>
        </w:rPr>
        <w:t>Se incorpora el Índice de Pobreza Energética Multidimensional construido por el Ministerio, mediante el cual se identifican hogares con limitaciones de acceso, continuidad, calidad o capacidad de pago del servicio de energía eléctrica. Este criterio responde directamente al enfoque social de la Transición Energética Justa y permite priorizar territorios históricamente afectados por pobreza energética.</w:t>
      </w:r>
    </w:p>
    <w:p w14:paraId="1D3A8D60" w14:textId="77777777" w:rsidR="00A32A07" w:rsidRPr="007915AB" w:rsidRDefault="00A32A07" w:rsidP="00A32A07">
      <w:pPr>
        <w:jc w:val="both"/>
        <w:rPr>
          <w:rFonts w:ascii="Work Sans" w:hAnsi="Work Sans"/>
          <w:sz w:val="24"/>
          <w:szCs w:val="24"/>
        </w:rPr>
      </w:pPr>
    </w:p>
    <w:p w14:paraId="6A4E6B39" w14:textId="77777777" w:rsidR="00A32A07" w:rsidRPr="007915AB" w:rsidRDefault="00A32A07" w:rsidP="00A32A07">
      <w:pPr>
        <w:jc w:val="both"/>
        <w:rPr>
          <w:rFonts w:ascii="Work Sans" w:hAnsi="Work Sans"/>
          <w:sz w:val="24"/>
          <w:szCs w:val="24"/>
        </w:rPr>
      </w:pPr>
      <w:r w:rsidRPr="007915AB">
        <w:rPr>
          <w:rFonts w:ascii="Work Sans" w:hAnsi="Work Sans"/>
          <w:sz w:val="24"/>
          <w:szCs w:val="24"/>
        </w:rPr>
        <w:t>En aplicación del principio de atomización aprobado por el CAPSE y de conformidad con las AFPEI, se identificaron usuarios cercanos que cumplen con los siguientes criterios:</w:t>
      </w:r>
    </w:p>
    <w:p w14:paraId="5D745142" w14:textId="77777777" w:rsidR="00A32A07" w:rsidRPr="007915AB" w:rsidRDefault="00A32A07" w:rsidP="00A32A07">
      <w:pPr>
        <w:jc w:val="both"/>
        <w:rPr>
          <w:rFonts w:ascii="Work Sans" w:hAnsi="Work Sans"/>
          <w:sz w:val="24"/>
          <w:szCs w:val="24"/>
        </w:rPr>
      </w:pPr>
    </w:p>
    <w:p w14:paraId="525E2BDD" w14:textId="1C21B966" w:rsidR="00A32A07" w:rsidRPr="007915AB" w:rsidRDefault="00A32A07" w:rsidP="00A32A07">
      <w:pPr>
        <w:jc w:val="both"/>
        <w:rPr>
          <w:rFonts w:ascii="Work Sans" w:hAnsi="Work Sans"/>
          <w:sz w:val="24"/>
          <w:szCs w:val="24"/>
        </w:rPr>
      </w:pPr>
      <w:r w:rsidRPr="007915AB">
        <w:rPr>
          <w:rFonts w:ascii="Work Sans" w:hAnsi="Work Sans"/>
          <w:sz w:val="24"/>
          <w:szCs w:val="24"/>
        </w:rPr>
        <w:t>3. Usuarios en proceso de postulación</w:t>
      </w:r>
      <w:r w:rsidR="00D524A2" w:rsidRPr="007915AB">
        <w:rPr>
          <w:rFonts w:ascii="Work Sans" w:hAnsi="Work Sans"/>
          <w:sz w:val="24"/>
          <w:szCs w:val="24"/>
        </w:rPr>
        <w:t xml:space="preserve"> </w:t>
      </w:r>
      <w:r w:rsidR="00D524A2" w:rsidRPr="007915AB">
        <w:rPr>
          <w:rFonts w:ascii="Work Sans" w:hAnsi="Work Sans"/>
          <w:sz w:val="24"/>
          <w:szCs w:val="24"/>
          <w:highlight w:val="yellow"/>
        </w:rPr>
        <w:t>(FOCALIZACIÓN)</w:t>
      </w:r>
    </w:p>
    <w:p w14:paraId="01C5A3CB" w14:textId="77777777" w:rsidR="00A32A07" w:rsidRPr="007915AB" w:rsidRDefault="00A32A07" w:rsidP="00A32A07">
      <w:pPr>
        <w:jc w:val="both"/>
        <w:rPr>
          <w:rFonts w:ascii="Work Sans" w:hAnsi="Work Sans"/>
          <w:sz w:val="24"/>
          <w:szCs w:val="24"/>
        </w:rPr>
      </w:pPr>
    </w:p>
    <w:p w14:paraId="16294272" w14:textId="77777777" w:rsidR="00A32A07" w:rsidRPr="007915AB" w:rsidRDefault="00A32A07" w:rsidP="00A32A07">
      <w:pPr>
        <w:jc w:val="both"/>
        <w:rPr>
          <w:rFonts w:ascii="Work Sans" w:hAnsi="Work Sans"/>
          <w:sz w:val="24"/>
          <w:szCs w:val="24"/>
        </w:rPr>
      </w:pPr>
      <w:r w:rsidRPr="007915AB">
        <w:rPr>
          <w:rFonts w:ascii="Work Sans" w:hAnsi="Work Sans"/>
          <w:sz w:val="24"/>
          <w:szCs w:val="24"/>
        </w:rPr>
        <w:t>En el marco de la estrategia de atomización y ampliación de cobertura, se priorizan usuarios que se encuentren dentro del proceso formal de postulación a las Comunidades Energéticas, garantizando transparencia, trazabilidad y aplicación objetiva de los criterios de selección definidos institucionalmente.</w:t>
      </w:r>
    </w:p>
    <w:p w14:paraId="47E6BC86" w14:textId="77777777" w:rsidR="00A32A07" w:rsidRPr="007915AB" w:rsidRDefault="00A32A07" w:rsidP="00A32A07">
      <w:pPr>
        <w:jc w:val="both"/>
        <w:rPr>
          <w:rFonts w:ascii="Work Sans" w:hAnsi="Work Sans"/>
          <w:sz w:val="24"/>
          <w:szCs w:val="24"/>
        </w:rPr>
      </w:pPr>
    </w:p>
    <w:p w14:paraId="79DB387E" w14:textId="6504BD3F" w:rsidR="00A32A07" w:rsidRPr="007915AB" w:rsidRDefault="00A32A07" w:rsidP="00A32A07">
      <w:pPr>
        <w:jc w:val="both"/>
        <w:rPr>
          <w:rFonts w:ascii="Work Sans" w:hAnsi="Work Sans"/>
          <w:sz w:val="24"/>
          <w:szCs w:val="24"/>
        </w:rPr>
      </w:pPr>
      <w:r w:rsidRPr="007915AB">
        <w:rPr>
          <w:rFonts w:ascii="Work Sans" w:hAnsi="Work Sans"/>
          <w:sz w:val="24"/>
          <w:szCs w:val="24"/>
        </w:rPr>
        <w:t>4. Usuarios pertenecientes a estratos 1 y 2</w:t>
      </w:r>
      <w:r w:rsidR="00D524A2" w:rsidRPr="007915AB">
        <w:rPr>
          <w:rFonts w:ascii="Work Sans" w:hAnsi="Work Sans"/>
          <w:sz w:val="24"/>
          <w:szCs w:val="24"/>
        </w:rPr>
        <w:t xml:space="preserve"> </w:t>
      </w:r>
      <w:r w:rsidR="00D524A2" w:rsidRPr="007915AB">
        <w:rPr>
          <w:rFonts w:ascii="Work Sans" w:hAnsi="Work Sans"/>
          <w:sz w:val="24"/>
          <w:szCs w:val="24"/>
          <w:highlight w:val="yellow"/>
        </w:rPr>
        <w:t>(FOCALIZACIÓN)</w:t>
      </w:r>
    </w:p>
    <w:p w14:paraId="6A13357A" w14:textId="77777777" w:rsidR="00A32A07" w:rsidRPr="007915AB" w:rsidRDefault="00A32A07" w:rsidP="00A32A07">
      <w:pPr>
        <w:jc w:val="both"/>
        <w:rPr>
          <w:rFonts w:ascii="Work Sans" w:hAnsi="Work Sans"/>
          <w:sz w:val="24"/>
          <w:szCs w:val="24"/>
        </w:rPr>
      </w:pPr>
    </w:p>
    <w:p w14:paraId="7DF78553" w14:textId="77777777" w:rsidR="00A32A07" w:rsidRPr="007915AB" w:rsidRDefault="00A32A07" w:rsidP="00A32A07">
      <w:pPr>
        <w:jc w:val="both"/>
        <w:rPr>
          <w:rFonts w:ascii="Work Sans" w:hAnsi="Work Sans"/>
          <w:sz w:val="24"/>
          <w:szCs w:val="24"/>
        </w:rPr>
      </w:pPr>
      <w:r w:rsidRPr="007915AB">
        <w:rPr>
          <w:rFonts w:ascii="Work Sans" w:hAnsi="Work Sans"/>
          <w:sz w:val="24"/>
          <w:szCs w:val="24"/>
        </w:rPr>
        <w:t>De conformidad con las AFPEI, se priorizan usuarios residenciales de estratos socioeconómicos 1 y 2, por corresponder a población con mayores condiciones de vulnerabilidad económica y menores capacidades de pago frente al servicio de energía eléctrica. Este criterio busca garantizar que los beneficios de las Comunidades Energéticas impacten prioritariamente a los hogares con mayores necesidades de apoyo.</w:t>
      </w:r>
    </w:p>
    <w:p w14:paraId="052617F5" w14:textId="77777777" w:rsidR="00A32A07" w:rsidRPr="007915AB" w:rsidRDefault="00A32A07" w:rsidP="00A32A07">
      <w:pPr>
        <w:jc w:val="both"/>
        <w:rPr>
          <w:rFonts w:ascii="Work Sans" w:hAnsi="Work Sans"/>
          <w:sz w:val="24"/>
          <w:szCs w:val="24"/>
        </w:rPr>
      </w:pPr>
    </w:p>
    <w:sectPr w:rsidR="00A32A07" w:rsidRPr="007915AB">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UAN CARLOS AGREDA BOTINA" w:date="2026-05-14T18:39:00Z" w:initials="JA">
    <w:p w14:paraId="36CE5F7E" w14:textId="77777777" w:rsidR="007915AB" w:rsidRDefault="007915AB" w:rsidP="007915AB">
      <w:pPr>
        <w:pStyle w:val="Textocomentario"/>
      </w:pPr>
      <w:r>
        <w:rPr>
          <w:rStyle w:val="Refdecomentario"/>
        </w:rPr>
        <w:annotationRef/>
      </w:r>
      <w:r>
        <w:t xml:space="preserve">Tener presente la no mezclar focalización con priorización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CE5F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C9CFD8" w16cex:dateUtc="2026-05-14T2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CE5F7E" w16cid:durableId="70C9CF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59168" w14:textId="77777777" w:rsidR="000D06CD" w:rsidRDefault="000D06CD">
      <w:pPr>
        <w:spacing w:after="0" w:line="240" w:lineRule="auto"/>
      </w:pPr>
      <w:r>
        <w:separator/>
      </w:r>
    </w:p>
  </w:endnote>
  <w:endnote w:type="continuationSeparator" w:id="0">
    <w:p w14:paraId="4FB7C811" w14:textId="77777777" w:rsidR="000D06CD" w:rsidRDefault="000D0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E0C193A" w:rsidR="00DE1913" w:rsidRDefault="00F1790E">
    <w:pPr>
      <w:pStyle w:val="Piedepgina"/>
    </w:pPr>
    <w:r w:rsidRPr="00B7766A">
      <w:rPr>
        <w:rFonts w:ascii="Work Sans" w:hAnsi="Work Sans" w:cstheme="minorHAnsi"/>
        <w:noProof/>
        <w:sz w:val="18"/>
        <w:szCs w:val="18"/>
      </w:rPr>
      <w:drawing>
        <wp:anchor distT="0" distB="0" distL="114300" distR="114300" simplePos="0" relativeHeight="251665408" behindDoc="1" locked="0" layoutInCell="1" allowOverlap="1" wp14:anchorId="3130B45E" wp14:editId="1139217D">
          <wp:simplePos x="0" y="0"/>
          <wp:positionH relativeFrom="margin">
            <wp:align>right</wp:align>
          </wp:positionH>
          <wp:positionV relativeFrom="paragraph">
            <wp:posOffset>160020</wp:posOffset>
          </wp:positionV>
          <wp:extent cx="1062355" cy="503555"/>
          <wp:effectExtent l="0" t="0" r="4445" b="0"/>
          <wp:wrapNone/>
          <wp:docPr id="129098584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414491" name="Imagen 1132414491"/>
                  <pic:cNvPicPr/>
                </pic:nvPicPr>
                <pic:blipFill>
                  <a:blip r:embed="rId1">
                    <a:extLst>
                      <a:ext uri="{28A0092B-C50C-407E-A947-70E740481C1C}">
                        <a14:useLocalDpi xmlns:a14="http://schemas.microsoft.com/office/drawing/2010/main" val="0"/>
                      </a:ext>
                    </a:extLst>
                  </a:blip>
                  <a:stretch>
                    <a:fillRect/>
                  </a:stretch>
                </pic:blipFill>
                <pic:spPr>
                  <a:xfrm>
                    <a:off x="0" y="0"/>
                    <a:ext cx="1062355" cy="503555"/>
                  </a:xfrm>
                  <a:prstGeom prst="rect">
                    <a:avLst/>
                  </a:prstGeom>
                </pic:spPr>
              </pic:pic>
            </a:graphicData>
          </a:graphic>
          <wp14:sizeRelH relativeFrom="page">
            <wp14:pctWidth>0</wp14:pctWidth>
          </wp14:sizeRelH>
          <wp14:sizeRelV relativeFrom="page">
            <wp14:pctHeight>0</wp14:pctHeight>
          </wp14:sizeRelV>
        </wp:anchor>
      </w:drawing>
    </w:r>
    <w:r w:rsidR="002478C2">
      <w:rPr>
        <w:noProof/>
      </w:rPr>
      <w:drawing>
        <wp:anchor distT="0" distB="0" distL="114300" distR="114300" simplePos="0" relativeHeight="251663360" behindDoc="1" locked="0" layoutInCell="1" allowOverlap="1" wp14:anchorId="23191DF9" wp14:editId="57C259D0">
          <wp:simplePos x="0" y="0"/>
          <wp:positionH relativeFrom="margin">
            <wp:align>left</wp:align>
          </wp:positionH>
          <wp:positionV relativeFrom="paragraph">
            <wp:posOffset>95250</wp:posOffset>
          </wp:positionV>
          <wp:extent cx="5143500" cy="800100"/>
          <wp:effectExtent l="0" t="0" r="0" b="0"/>
          <wp:wrapNone/>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2">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1A3C" w14:textId="77777777" w:rsidR="000D06CD" w:rsidRDefault="000D06CD">
      <w:pPr>
        <w:spacing w:after="0" w:line="240" w:lineRule="auto"/>
      </w:pPr>
      <w:r>
        <w:separator/>
      </w:r>
    </w:p>
  </w:footnote>
  <w:footnote w:type="continuationSeparator" w:id="0">
    <w:p w14:paraId="0BB1770C" w14:textId="77777777" w:rsidR="000D06CD" w:rsidRDefault="000D0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0B5EA54E">
              <wp:simplePos x="0" y="0"/>
              <wp:positionH relativeFrom="margin">
                <wp:align>center</wp:align>
              </wp:positionH>
              <wp:positionV relativeFrom="paragraph">
                <wp:posOffset>12700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2E443FA2" w14:textId="79AF632C" w:rsidR="00DE1913" w:rsidRPr="00F1790E" w:rsidRDefault="005617AA" w:rsidP="00F1790E">
        <w:pPr>
          <w:pStyle w:val="Encabezado"/>
          <w:jc w:val="right"/>
          <w:rPr>
            <w:noProof/>
          </w:rPr>
        </w:pPr>
        <w:r>
          <w:rPr>
            <w:noProof/>
          </w:rP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76DA4"/>
    <w:multiLevelType w:val="hybridMultilevel"/>
    <w:tmpl w:val="FF16A322"/>
    <w:lvl w:ilvl="0" w:tplc="37A04F0C">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264E3BE7"/>
    <w:multiLevelType w:val="multilevel"/>
    <w:tmpl w:val="ABE4C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89D4C67"/>
    <w:multiLevelType w:val="multilevel"/>
    <w:tmpl w:val="1C3EDB9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D89951A"/>
    <w:multiLevelType w:val="hybridMultilevel"/>
    <w:tmpl w:val="B5307DC0"/>
    <w:lvl w:ilvl="0" w:tplc="BF9657EE">
      <w:start w:val="1"/>
      <w:numFmt w:val="bullet"/>
      <w:lvlText w:val="·"/>
      <w:lvlJc w:val="left"/>
      <w:pPr>
        <w:ind w:left="1080" w:hanging="360"/>
      </w:pPr>
      <w:rPr>
        <w:rFonts w:ascii="Symbol" w:hAnsi="Symbol" w:hint="default"/>
      </w:rPr>
    </w:lvl>
    <w:lvl w:ilvl="1" w:tplc="B4665A50">
      <w:start w:val="1"/>
      <w:numFmt w:val="bullet"/>
      <w:lvlText w:val="o"/>
      <w:lvlJc w:val="left"/>
      <w:pPr>
        <w:ind w:left="1800" w:hanging="360"/>
      </w:pPr>
      <w:rPr>
        <w:rFonts w:ascii="Courier New" w:hAnsi="Courier New" w:hint="default"/>
      </w:rPr>
    </w:lvl>
    <w:lvl w:ilvl="2" w:tplc="070804EA">
      <w:start w:val="1"/>
      <w:numFmt w:val="bullet"/>
      <w:lvlText w:val=""/>
      <w:lvlJc w:val="left"/>
      <w:pPr>
        <w:ind w:left="2520" w:hanging="360"/>
      </w:pPr>
      <w:rPr>
        <w:rFonts w:ascii="Wingdings" w:hAnsi="Wingdings" w:hint="default"/>
      </w:rPr>
    </w:lvl>
    <w:lvl w:ilvl="3" w:tplc="0184A5DC">
      <w:start w:val="1"/>
      <w:numFmt w:val="bullet"/>
      <w:lvlText w:val=""/>
      <w:lvlJc w:val="left"/>
      <w:pPr>
        <w:ind w:left="3240" w:hanging="360"/>
      </w:pPr>
      <w:rPr>
        <w:rFonts w:ascii="Symbol" w:hAnsi="Symbol" w:hint="default"/>
      </w:rPr>
    </w:lvl>
    <w:lvl w:ilvl="4" w:tplc="62F0EF28">
      <w:start w:val="1"/>
      <w:numFmt w:val="bullet"/>
      <w:lvlText w:val="o"/>
      <w:lvlJc w:val="left"/>
      <w:pPr>
        <w:ind w:left="3960" w:hanging="360"/>
      </w:pPr>
      <w:rPr>
        <w:rFonts w:ascii="Courier New" w:hAnsi="Courier New" w:hint="default"/>
      </w:rPr>
    </w:lvl>
    <w:lvl w:ilvl="5" w:tplc="741E1F72">
      <w:start w:val="1"/>
      <w:numFmt w:val="bullet"/>
      <w:lvlText w:val=""/>
      <w:lvlJc w:val="left"/>
      <w:pPr>
        <w:ind w:left="4680" w:hanging="360"/>
      </w:pPr>
      <w:rPr>
        <w:rFonts w:ascii="Wingdings" w:hAnsi="Wingdings" w:hint="default"/>
      </w:rPr>
    </w:lvl>
    <w:lvl w:ilvl="6" w:tplc="D9E6FEB8">
      <w:start w:val="1"/>
      <w:numFmt w:val="bullet"/>
      <w:lvlText w:val=""/>
      <w:lvlJc w:val="left"/>
      <w:pPr>
        <w:ind w:left="5400" w:hanging="360"/>
      </w:pPr>
      <w:rPr>
        <w:rFonts w:ascii="Symbol" w:hAnsi="Symbol" w:hint="default"/>
      </w:rPr>
    </w:lvl>
    <w:lvl w:ilvl="7" w:tplc="74102252">
      <w:start w:val="1"/>
      <w:numFmt w:val="bullet"/>
      <w:lvlText w:val="o"/>
      <w:lvlJc w:val="left"/>
      <w:pPr>
        <w:ind w:left="6120" w:hanging="360"/>
      </w:pPr>
      <w:rPr>
        <w:rFonts w:ascii="Courier New" w:hAnsi="Courier New" w:hint="default"/>
      </w:rPr>
    </w:lvl>
    <w:lvl w:ilvl="8" w:tplc="2DAA4966">
      <w:start w:val="1"/>
      <w:numFmt w:val="bullet"/>
      <w:lvlText w:val=""/>
      <w:lvlJc w:val="left"/>
      <w:pPr>
        <w:ind w:left="6840" w:hanging="360"/>
      </w:pPr>
      <w:rPr>
        <w:rFonts w:ascii="Wingdings" w:hAnsi="Wingdings" w:hint="default"/>
      </w:rPr>
    </w:lvl>
  </w:abstractNum>
  <w:abstractNum w:abstractNumId="4" w15:restartNumberingAfterBreak="0">
    <w:nsid w:val="612E6ACA"/>
    <w:multiLevelType w:val="hybridMultilevel"/>
    <w:tmpl w:val="44AA9982"/>
    <w:lvl w:ilvl="0" w:tplc="7554759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D50AB12"/>
    <w:multiLevelType w:val="hybridMultilevel"/>
    <w:tmpl w:val="DCD67704"/>
    <w:lvl w:ilvl="0" w:tplc="474492D8">
      <w:start w:val="1"/>
      <w:numFmt w:val="decimal"/>
      <w:lvlText w:val="(%1)"/>
      <w:lvlJc w:val="left"/>
      <w:pPr>
        <w:ind w:left="720" w:hanging="360"/>
      </w:pPr>
    </w:lvl>
    <w:lvl w:ilvl="1" w:tplc="D5D27B56">
      <w:start w:val="1"/>
      <w:numFmt w:val="lowerLetter"/>
      <w:lvlText w:val="%2."/>
      <w:lvlJc w:val="left"/>
      <w:pPr>
        <w:ind w:left="1440" w:hanging="360"/>
      </w:pPr>
    </w:lvl>
    <w:lvl w:ilvl="2" w:tplc="FDB49BB0">
      <w:start w:val="1"/>
      <w:numFmt w:val="lowerRoman"/>
      <w:lvlText w:val="%3."/>
      <w:lvlJc w:val="right"/>
      <w:pPr>
        <w:ind w:left="2160" w:hanging="180"/>
      </w:pPr>
    </w:lvl>
    <w:lvl w:ilvl="3" w:tplc="141AAF5A">
      <w:start w:val="1"/>
      <w:numFmt w:val="decimal"/>
      <w:lvlText w:val="%4."/>
      <w:lvlJc w:val="left"/>
      <w:pPr>
        <w:ind w:left="2880" w:hanging="360"/>
      </w:pPr>
    </w:lvl>
    <w:lvl w:ilvl="4" w:tplc="B2DE5DAE">
      <w:start w:val="1"/>
      <w:numFmt w:val="lowerLetter"/>
      <w:lvlText w:val="%5."/>
      <w:lvlJc w:val="left"/>
      <w:pPr>
        <w:ind w:left="3600" w:hanging="360"/>
      </w:pPr>
    </w:lvl>
    <w:lvl w:ilvl="5" w:tplc="35B84C30">
      <w:start w:val="1"/>
      <w:numFmt w:val="lowerRoman"/>
      <w:lvlText w:val="%6."/>
      <w:lvlJc w:val="right"/>
      <w:pPr>
        <w:ind w:left="4320" w:hanging="180"/>
      </w:pPr>
    </w:lvl>
    <w:lvl w:ilvl="6" w:tplc="23246A2A">
      <w:start w:val="1"/>
      <w:numFmt w:val="decimal"/>
      <w:lvlText w:val="%7."/>
      <w:lvlJc w:val="left"/>
      <w:pPr>
        <w:ind w:left="5040" w:hanging="360"/>
      </w:pPr>
    </w:lvl>
    <w:lvl w:ilvl="7" w:tplc="36EEA69C">
      <w:start w:val="1"/>
      <w:numFmt w:val="lowerLetter"/>
      <w:lvlText w:val="%8."/>
      <w:lvlJc w:val="left"/>
      <w:pPr>
        <w:ind w:left="5760" w:hanging="360"/>
      </w:pPr>
    </w:lvl>
    <w:lvl w:ilvl="8" w:tplc="5178B8D4">
      <w:start w:val="1"/>
      <w:numFmt w:val="lowerRoman"/>
      <w:lvlText w:val="%9."/>
      <w:lvlJc w:val="right"/>
      <w:pPr>
        <w:ind w:left="6480" w:hanging="180"/>
      </w:pPr>
    </w:lvl>
  </w:abstractNum>
  <w:num w:numId="1" w16cid:durableId="659043131">
    <w:abstractNumId w:val="3"/>
  </w:num>
  <w:num w:numId="2" w16cid:durableId="1394237997">
    <w:abstractNumId w:val="5"/>
  </w:num>
  <w:num w:numId="3" w16cid:durableId="255210609">
    <w:abstractNumId w:val="0"/>
  </w:num>
  <w:num w:numId="4" w16cid:durableId="464809653">
    <w:abstractNumId w:val="2"/>
  </w:num>
  <w:num w:numId="5" w16cid:durableId="1806504392">
    <w:abstractNumId w:val="1"/>
  </w:num>
  <w:num w:numId="6" w16cid:durableId="14261506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CARLOS AGREDA BOTINA">
    <w15:presenceInfo w15:providerId="AD" w15:userId="S::jcagreda@minenergia.gov.co::1de69eb4-2346-493b-a0cb-fe4c7fef7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87673"/>
    <w:rsid w:val="000D06CD"/>
    <w:rsid w:val="00141D14"/>
    <w:rsid w:val="001759D6"/>
    <w:rsid w:val="001818F1"/>
    <w:rsid w:val="002079C3"/>
    <w:rsid w:val="002478C2"/>
    <w:rsid w:val="00252622"/>
    <w:rsid w:val="00262ACE"/>
    <w:rsid w:val="002D36F0"/>
    <w:rsid w:val="003121A9"/>
    <w:rsid w:val="003B2B73"/>
    <w:rsid w:val="004466CC"/>
    <w:rsid w:val="00484A5A"/>
    <w:rsid w:val="00496E70"/>
    <w:rsid w:val="005225C6"/>
    <w:rsid w:val="00532239"/>
    <w:rsid w:val="005617AA"/>
    <w:rsid w:val="005646C4"/>
    <w:rsid w:val="00615C78"/>
    <w:rsid w:val="00640E5A"/>
    <w:rsid w:val="006C7CA7"/>
    <w:rsid w:val="006E4AD3"/>
    <w:rsid w:val="00735F44"/>
    <w:rsid w:val="00754198"/>
    <w:rsid w:val="00766D00"/>
    <w:rsid w:val="007915AB"/>
    <w:rsid w:val="007A5A72"/>
    <w:rsid w:val="008265EE"/>
    <w:rsid w:val="00830730"/>
    <w:rsid w:val="00880ECC"/>
    <w:rsid w:val="00885711"/>
    <w:rsid w:val="00892C0E"/>
    <w:rsid w:val="008E4ABF"/>
    <w:rsid w:val="009359F1"/>
    <w:rsid w:val="00957916"/>
    <w:rsid w:val="00981241"/>
    <w:rsid w:val="009A107B"/>
    <w:rsid w:val="009B3B8B"/>
    <w:rsid w:val="009E5228"/>
    <w:rsid w:val="00A327C9"/>
    <w:rsid w:val="00A32A07"/>
    <w:rsid w:val="00A3590E"/>
    <w:rsid w:val="00A64924"/>
    <w:rsid w:val="00A86526"/>
    <w:rsid w:val="00AD43C1"/>
    <w:rsid w:val="00B4250F"/>
    <w:rsid w:val="00B51607"/>
    <w:rsid w:val="00BC6821"/>
    <w:rsid w:val="00C0455B"/>
    <w:rsid w:val="00CB7EB3"/>
    <w:rsid w:val="00CC8F95"/>
    <w:rsid w:val="00CF3459"/>
    <w:rsid w:val="00D11EFC"/>
    <w:rsid w:val="00D226F5"/>
    <w:rsid w:val="00D524A2"/>
    <w:rsid w:val="00DC7B37"/>
    <w:rsid w:val="00DD58A2"/>
    <w:rsid w:val="00DE1913"/>
    <w:rsid w:val="00E113E2"/>
    <w:rsid w:val="00E24C6D"/>
    <w:rsid w:val="00E37AC0"/>
    <w:rsid w:val="00E823F2"/>
    <w:rsid w:val="00EB3862"/>
    <w:rsid w:val="00F1790E"/>
    <w:rsid w:val="00F80A1F"/>
    <w:rsid w:val="00F94C11"/>
    <w:rsid w:val="00FA439A"/>
    <w:rsid w:val="00FC128E"/>
    <w:rsid w:val="00FD392C"/>
    <w:rsid w:val="01019F1E"/>
    <w:rsid w:val="02A37310"/>
    <w:rsid w:val="02F42B01"/>
    <w:rsid w:val="03A7018D"/>
    <w:rsid w:val="04C3908A"/>
    <w:rsid w:val="069E925A"/>
    <w:rsid w:val="07584867"/>
    <w:rsid w:val="07DB68B6"/>
    <w:rsid w:val="083D75AD"/>
    <w:rsid w:val="0840F980"/>
    <w:rsid w:val="08D22103"/>
    <w:rsid w:val="09F2310E"/>
    <w:rsid w:val="0B1E05E2"/>
    <w:rsid w:val="0BCD203F"/>
    <w:rsid w:val="0BFA3B3E"/>
    <w:rsid w:val="0C48C9E3"/>
    <w:rsid w:val="0C5DB09B"/>
    <w:rsid w:val="0C8EA0A0"/>
    <w:rsid w:val="0CA44B22"/>
    <w:rsid w:val="0CB6175E"/>
    <w:rsid w:val="0D21358B"/>
    <w:rsid w:val="0E444F02"/>
    <w:rsid w:val="0F7A538E"/>
    <w:rsid w:val="0FC00E4A"/>
    <w:rsid w:val="1032D88E"/>
    <w:rsid w:val="10703D77"/>
    <w:rsid w:val="11285684"/>
    <w:rsid w:val="11B3CACE"/>
    <w:rsid w:val="11D09086"/>
    <w:rsid w:val="11D8C914"/>
    <w:rsid w:val="11F4EBEC"/>
    <w:rsid w:val="12764197"/>
    <w:rsid w:val="127883A4"/>
    <w:rsid w:val="127BFE02"/>
    <w:rsid w:val="14220045"/>
    <w:rsid w:val="14548B78"/>
    <w:rsid w:val="148D7F04"/>
    <w:rsid w:val="166ED8D1"/>
    <w:rsid w:val="1733DF51"/>
    <w:rsid w:val="17C2ECF6"/>
    <w:rsid w:val="188D78EF"/>
    <w:rsid w:val="19065331"/>
    <w:rsid w:val="1949A860"/>
    <w:rsid w:val="1A679819"/>
    <w:rsid w:val="1AA34C20"/>
    <w:rsid w:val="1AFAC2F9"/>
    <w:rsid w:val="1C5DFC07"/>
    <w:rsid w:val="1C90C796"/>
    <w:rsid w:val="1D3189F3"/>
    <w:rsid w:val="1D381131"/>
    <w:rsid w:val="1D969E60"/>
    <w:rsid w:val="1E7B2722"/>
    <w:rsid w:val="1EF75C84"/>
    <w:rsid w:val="2062930D"/>
    <w:rsid w:val="20BE707C"/>
    <w:rsid w:val="21ACB92C"/>
    <w:rsid w:val="226251AD"/>
    <w:rsid w:val="234937C4"/>
    <w:rsid w:val="23A1BFF5"/>
    <w:rsid w:val="2539E23D"/>
    <w:rsid w:val="255400D9"/>
    <w:rsid w:val="25BA6048"/>
    <w:rsid w:val="26466AAF"/>
    <w:rsid w:val="26B55867"/>
    <w:rsid w:val="2704A065"/>
    <w:rsid w:val="27400C25"/>
    <w:rsid w:val="29024515"/>
    <w:rsid w:val="2A5EB646"/>
    <w:rsid w:val="2BA691E0"/>
    <w:rsid w:val="2C4C5491"/>
    <w:rsid w:val="2C60079C"/>
    <w:rsid w:val="2C64AADB"/>
    <w:rsid w:val="2CAA698A"/>
    <w:rsid w:val="2CDFA55D"/>
    <w:rsid w:val="2D21262F"/>
    <w:rsid w:val="2D47A454"/>
    <w:rsid w:val="2F0B2178"/>
    <w:rsid w:val="2FF472FA"/>
    <w:rsid w:val="315C51C9"/>
    <w:rsid w:val="318D3BE6"/>
    <w:rsid w:val="31D5F101"/>
    <w:rsid w:val="32323F6F"/>
    <w:rsid w:val="3237D441"/>
    <w:rsid w:val="32662769"/>
    <w:rsid w:val="326E8F0C"/>
    <w:rsid w:val="33645B05"/>
    <w:rsid w:val="33AB35AD"/>
    <w:rsid w:val="3534B090"/>
    <w:rsid w:val="3596C0CA"/>
    <w:rsid w:val="36C4D664"/>
    <w:rsid w:val="3724E64B"/>
    <w:rsid w:val="37E8BAAD"/>
    <w:rsid w:val="3869F668"/>
    <w:rsid w:val="397E5715"/>
    <w:rsid w:val="399C4CA8"/>
    <w:rsid w:val="39BECAD6"/>
    <w:rsid w:val="39EC46A9"/>
    <w:rsid w:val="3A66FF29"/>
    <w:rsid w:val="3A9EB729"/>
    <w:rsid w:val="3ABFC6DE"/>
    <w:rsid w:val="3B82A638"/>
    <w:rsid w:val="3C409EC5"/>
    <w:rsid w:val="3DABCBD9"/>
    <w:rsid w:val="3DE59ED0"/>
    <w:rsid w:val="3E456DB9"/>
    <w:rsid w:val="3EBF3AC0"/>
    <w:rsid w:val="3EE737C2"/>
    <w:rsid w:val="3EFDE753"/>
    <w:rsid w:val="3FA4230E"/>
    <w:rsid w:val="3FFE2F61"/>
    <w:rsid w:val="40B946F6"/>
    <w:rsid w:val="40CEBC03"/>
    <w:rsid w:val="41488824"/>
    <w:rsid w:val="42028F8D"/>
    <w:rsid w:val="4237F12E"/>
    <w:rsid w:val="42BE9EAD"/>
    <w:rsid w:val="42F8798B"/>
    <w:rsid w:val="43520715"/>
    <w:rsid w:val="44AA6BE0"/>
    <w:rsid w:val="44C8EDEF"/>
    <w:rsid w:val="453B69E9"/>
    <w:rsid w:val="4593AFE8"/>
    <w:rsid w:val="45EE009B"/>
    <w:rsid w:val="4733EC51"/>
    <w:rsid w:val="4774B3CE"/>
    <w:rsid w:val="47C3096F"/>
    <w:rsid w:val="49338AA2"/>
    <w:rsid w:val="496A9A50"/>
    <w:rsid w:val="4991B05B"/>
    <w:rsid w:val="4A993DDA"/>
    <w:rsid w:val="4ACE88A6"/>
    <w:rsid w:val="4B54B16C"/>
    <w:rsid w:val="4B57D0C7"/>
    <w:rsid w:val="4C1D7304"/>
    <w:rsid w:val="4C5C4516"/>
    <w:rsid w:val="4CA586D7"/>
    <w:rsid w:val="4CC136E4"/>
    <w:rsid w:val="4D3EE562"/>
    <w:rsid w:val="4D95A665"/>
    <w:rsid w:val="4F0444A6"/>
    <w:rsid w:val="4F7FA4E1"/>
    <w:rsid w:val="50558FFC"/>
    <w:rsid w:val="5055A21A"/>
    <w:rsid w:val="50F7B225"/>
    <w:rsid w:val="5302D6C6"/>
    <w:rsid w:val="530CD047"/>
    <w:rsid w:val="539F9097"/>
    <w:rsid w:val="545B0967"/>
    <w:rsid w:val="5463ACE9"/>
    <w:rsid w:val="55A70B82"/>
    <w:rsid w:val="55D4C17A"/>
    <w:rsid w:val="5611263E"/>
    <w:rsid w:val="569388E9"/>
    <w:rsid w:val="56FC92F7"/>
    <w:rsid w:val="585742F6"/>
    <w:rsid w:val="587F7A2A"/>
    <w:rsid w:val="58FE47C2"/>
    <w:rsid w:val="59C6EB00"/>
    <w:rsid w:val="5AD1AA44"/>
    <w:rsid w:val="5B921142"/>
    <w:rsid w:val="5B927B7A"/>
    <w:rsid w:val="5BE012D9"/>
    <w:rsid w:val="5BE94BCD"/>
    <w:rsid w:val="5BFEDF4B"/>
    <w:rsid w:val="5C40A937"/>
    <w:rsid w:val="5DAD7768"/>
    <w:rsid w:val="5E47010C"/>
    <w:rsid w:val="5EC9847B"/>
    <w:rsid w:val="5FAE5175"/>
    <w:rsid w:val="5FE230AF"/>
    <w:rsid w:val="601A3817"/>
    <w:rsid w:val="616452B0"/>
    <w:rsid w:val="61826F03"/>
    <w:rsid w:val="627B26F5"/>
    <w:rsid w:val="6287C779"/>
    <w:rsid w:val="62ED0D5F"/>
    <w:rsid w:val="63067FD0"/>
    <w:rsid w:val="637740D4"/>
    <w:rsid w:val="63AECF21"/>
    <w:rsid w:val="678A33B9"/>
    <w:rsid w:val="67AD4DB1"/>
    <w:rsid w:val="67BD6107"/>
    <w:rsid w:val="68F60052"/>
    <w:rsid w:val="6A584EC4"/>
    <w:rsid w:val="6B100213"/>
    <w:rsid w:val="6C57467A"/>
    <w:rsid w:val="6CD80221"/>
    <w:rsid w:val="6CE2C715"/>
    <w:rsid w:val="6D3BAAF4"/>
    <w:rsid w:val="6E3C61DA"/>
    <w:rsid w:val="6E75144E"/>
    <w:rsid w:val="6E9317B9"/>
    <w:rsid w:val="6EA75502"/>
    <w:rsid w:val="6EC1C337"/>
    <w:rsid w:val="6EC6F939"/>
    <w:rsid w:val="6ECFEE90"/>
    <w:rsid w:val="7022DBD5"/>
    <w:rsid w:val="70AD44F7"/>
    <w:rsid w:val="71C36392"/>
    <w:rsid w:val="727AA132"/>
    <w:rsid w:val="72FDD708"/>
    <w:rsid w:val="74C032AD"/>
    <w:rsid w:val="752C690A"/>
    <w:rsid w:val="77E210A7"/>
    <w:rsid w:val="7822C0E6"/>
    <w:rsid w:val="785CA7EE"/>
    <w:rsid w:val="78BCC6EB"/>
    <w:rsid w:val="7B6A70A8"/>
    <w:rsid w:val="7B93DE5C"/>
    <w:rsid w:val="7BB3067B"/>
    <w:rsid w:val="7CD712F0"/>
    <w:rsid w:val="7EBC5A6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4A2"/>
    <w:pPr>
      <w:spacing w:after="200" w:line="276" w:lineRule="auto"/>
    </w:pPr>
  </w:style>
  <w:style w:type="paragraph" w:styleId="Ttulo1">
    <w:name w:val="heading 1"/>
    <w:basedOn w:val="Normal"/>
    <w:next w:val="Normal"/>
    <w:link w:val="Ttulo1Car"/>
    <w:uiPriority w:val="9"/>
    <w:qFormat/>
    <w:rsid w:val="005322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0">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FC128E"/>
    <w:pPr>
      <w:suppressAutoHyphens w:val="0"/>
      <w:spacing w:after="160" w:line="278" w:lineRule="auto"/>
      <w:ind w:left="720"/>
      <w:contextualSpacing/>
    </w:pPr>
    <w:rPr>
      <w:kern w:val="2"/>
      <w:sz w:val="24"/>
      <w:szCs w:val="24"/>
      <w14:ligatures w14:val="standardContextual"/>
    </w:rPr>
  </w:style>
  <w:style w:type="character" w:styleId="Hipervnculo">
    <w:name w:val="Hyperlink"/>
    <w:basedOn w:val="Fuentedeprrafopredeter"/>
    <w:uiPriority w:val="99"/>
    <w:unhideWhenUsed/>
    <w:rsid w:val="00D11EFC"/>
    <w:rPr>
      <w:color w:val="0563C1" w:themeColor="hyperlink"/>
      <w:u w:val="single"/>
    </w:rPr>
  </w:style>
  <w:style w:type="character" w:styleId="Mencinsinresolver">
    <w:name w:val="Unresolved Mention"/>
    <w:basedOn w:val="Fuentedeprrafopredeter"/>
    <w:uiPriority w:val="99"/>
    <w:semiHidden/>
    <w:unhideWhenUsed/>
    <w:rsid w:val="00D11EFC"/>
    <w:rPr>
      <w:color w:val="605E5C"/>
      <w:shd w:val="clear" w:color="auto" w:fill="E1DFDD"/>
    </w:rPr>
  </w:style>
  <w:style w:type="character" w:customStyle="1" w:styleId="Ttulo1Car">
    <w:name w:val="Título 1 Car"/>
    <w:basedOn w:val="Fuentedeprrafopredeter"/>
    <w:link w:val="Ttulo1"/>
    <w:uiPriority w:val="9"/>
    <w:rsid w:val="00532239"/>
    <w:rPr>
      <w:rFonts w:asciiTheme="majorHAnsi" w:eastAsiaTheme="majorEastAsia" w:hAnsiTheme="majorHAnsi" w:cstheme="majorBidi"/>
      <w:color w:val="2F5496" w:themeColor="accent1" w:themeShade="BF"/>
      <w:sz w:val="32"/>
      <w:szCs w:val="32"/>
    </w:rPr>
  </w:style>
  <w:style w:type="paragraph" w:styleId="Revisin">
    <w:name w:val="Revision"/>
    <w:hidden/>
    <w:uiPriority w:val="99"/>
    <w:semiHidden/>
    <w:rsid w:val="00532239"/>
    <w:pPr>
      <w:suppressAutoHyphens w:val="0"/>
    </w:p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character" w:styleId="Hipervnculovisitado">
    <w:name w:val="FollowedHyperlink"/>
    <w:basedOn w:val="Fuentedeprrafopredeter"/>
    <w:uiPriority w:val="99"/>
    <w:semiHidden/>
    <w:unhideWhenUsed/>
    <w:rsid w:val="00DD58A2"/>
    <w:rPr>
      <w:color w:val="954F72" w:themeColor="followedHyperlink"/>
      <w:u w:val="single"/>
    </w:rPr>
  </w:style>
  <w:style w:type="paragraph" w:styleId="Subttulo">
    <w:name w:val="Subtitle"/>
    <w:basedOn w:val="Normal"/>
    <w:next w:val="Normal"/>
    <w:link w:val="SubttuloCar"/>
    <w:uiPriority w:val="11"/>
    <w:qFormat/>
    <w:rsid w:val="00A32A07"/>
    <w:pPr>
      <w:numPr>
        <w:ilvl w:val="1"/>
      </w:numPr>
      <w:spacing w:after="160"/>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A32A07"/>
    <w:rPr>
      <w:rFonts w:eastAsiaTheme="minorEastAsia"/>
      <w:color w:val="5A5A5A" w:themeColor="text1" w:themeTint="A5"/>
      <w:spacing w:val="15"/>
    </w:rPr>
  </w:style>
  <w:style w:type="paragraph" w:styleId="Sinespaciado">
    <w:name w:val="No Spacing"/>
    <w:uiPriority w:val="1"/>
    <w:qFormat/>
    <w:rsid w:val="00A32A07"/>
  </w:style>
  <w:style w:type="table" w:styleId="Tablaconcuadrcula">
    <w:name w:val="Table Grid"/>
    <w:basedOn w:val="Tablanormal"/>
    <w:uiPriority w:val="39"/>
    <w:rsid w:val="00A32A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7915AB"/>
    <w:rPr>
      <w:b/>
      <w:bCs/>
    </w:rPr>
  </w:style>
  <w:style w:type="character" w:customStyle="1" w:styleId="AsuntodelcomentarioCar">
    <w:name w:val="Asunto del comentario Car"/>
    <w:basedOn w:val="TextocomentarioCar"/>
    <w:link w:val="Asuntodelcomentario"/>
    <w:uiPriority w:val="99"/>
    <w:semiHidden/>
    <w:rsid w:val="007915A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1414</Words>
  <Characters>7777</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JUAN CARLOS AGREDA BOTINA</cp:lastModifiedBy>
  <cp:revision>6</cp:revision>
  <dcterms:created xsi:type="dcterms:W3CDTF">2026-05-14T22:56:00Z</dcterms:created>
  <dcterms:modified xsi:type="dcterms:W3CDTF">2026-05-14T23:39:00Z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